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D1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FFFFFF"/>
          <w:lang w:val="en-US" w:eastAsia="zh-CN" w:bidi="ar"/>
        </w:rPr>
        <w:t>附件1：</w:t>
      </w:r>
    </w:p>
    <w:p w14:paraId="42823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FFFFFF"/>
          <w:lang w:val="en-US" w:eastAsia="zh-CN" w:bidi="ar"/>
        </w:rPr>
        <w:t>项目评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shd w:val="clear" w:color="auto" w:fill="FFFFFF"/>
          <w:lang w:val="en-US" w:eastAsia="zh-CN" w:bidi="ar"/>
        </w:rPr>
        <w:t>分标准</w:t>
      </w:r>
    </w:p>
    <w:tbl>
      <w:tblPr>
        <w:tblStyle w:val="9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858"/>
        <w:gridCol w:w="5769"/>
      </w:tblGrid>
      <w:tr w14:paraId="41B2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noWrap w:val="0"/>
            <w:vAlign w:val="top"/>
          </w:tcPr>
          <w:p w14:paraId="2D622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评审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项目</w:t>
            </w:r>
          </w:p>
        </w:tc>
        <w:tc>
          <w:tcPr>
            <w:tcW w:w="858" w:type="dxa"/>
            <w:noWrap w:val="0"/>
            <w:vAlign w:val="top"/>
          </w:tcPr>
          <w:p w14:paraId="76B10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分值</w:t>
            </w:r>
          </w:p>
        </w:tc>
        <w:tc>
          <w:tcPr>
            <w:tcW w:w="5769" w:type="dxa"/>
            <w:noWrap w:val="0"/>
            <w:vAlign w:val="top"/>
          </w:tcPr>
          <w:p w14:paraId="45D3C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评审标准</w:t>
            </w:r>
          </w:p>
        </w:tc>
      </w:tr>
      <w:tr w14:paraId="2A2B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noWrap w:val="0"/>
            <w:vAlign w:val="center"/>
          </w:tcPr>
          <w:p w14:paraId="20593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投标报价</w:t>
            </w:r>
          </w:p>
        </w:tc>
        <w:tc>
          <w:tcPr>
            <w:tcW w:w="858" w:type="dxa"/>
            <w:noWrap w:val="0"/>
            <w:vAlign w:val="center"/>
          </w:tcPr>
          <w:p w14:paraId="54F47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10分</w:t>
            </w:r>
          </w:p>
        </w:tc>
        <w:tc>
          <w:tcPr>
            <w:tcW w:w="5769" w:type="dxa"/>
            <w:noWrap w:val="0"/>
            <w:vAlign w:val="top"/>
          </w:tcPr>
          <w:p w14:paraId="66A26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以满足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比选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文件要求且投标价格最低的报价为评标基准价，投标报价等于基准价得1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分；投标报价高于基准价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，统一按照下列公式计算：投标报价得分=（评标基准价/投标报价）*1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</w:rPr>
              <w:t>（百分点保留2位小数点，得分保留2位小数）</w:t>
            </w:r>
          </w:p>
        </w:tc>
      </w:tr>
      <w:tr w14:paraId="728C3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noWrap w:val="0"/>
            <w:vAlign w:val="center"/>
          </w:tcPr>
          <w:p w14:paraId="4F27E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</w:rPr>
              <w:t>组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</w:rPr>
              <w:t>织结</w:t>
            </w: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</w:rPr>
              <w:t>构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</w:rPr>
              <w:t>及项</w:t>
            </w: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</w:rPr>
              <w:t>目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</w:rPr>
              <w:t>团队</w:t>
            </w:r>
          </w:p>
        </w:tc>
        <w:tc>
          <w:tcPr>
            <w:tcW w:w="858" w:type="dxa"/>
            <w:noWrap w:val="0"/>
            <w:vAlign w:val="center"/>
          </w:tcPr>
          <w:p w14:paraId="5274D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20分</w:t>
            </w:r>
          </w:p>
        </w:tc>
        <w:tc>
          <w:tcPr>
            <w:tcW w:w="5769" w:type="dxa"/>
            <w:noWrap w:val="0"/>
            <w:vAlign w:val="top"/>
          </w:tcPr>
          <w:p w14:paraId="55016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第一档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zh-CN" w:eastAsia="zh-CN"/>
              </w:rPr>
              <w:t>项目实施团队的组织结构完善、合理，团队人员构成专业性强，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文字工作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zh-CN" w:eastAsia="zh-CN"/>
              </w:rPr>
              <w:t>经验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zh-CN" w:eastAsia="zh-CN"/>
              </w:rPr>
              <w:t>丰富的，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得1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6（含）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-20分；</w:t>
            </w:r>
          </w:p>
          <w:p w14:paraId="5F53C962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第二档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zh-CN" w:eastAsia="zh-CN"/>
              </w:rPr>
              <w:t>组织管理机构健全、合理，团队人员构成和专业性较好，相关经验较丰富，符合项目需求的，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得1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2（含）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-1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分；</w:t>
            </w:r>
          </w:p>
          <w:p w14:paraId="4D9F3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第三档：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zh-CN" w:eastAsia="zh-CN"/>
              </w:rPr>
              <w:t>组织管理机构和人员构成基本合理，专业性和相关经验有欠缺或低于其他档次投标人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zh-CN" w:eastAsia="zh-CN"/>
              </w:rPr>
              <w:t>，得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分。</w:t>
            </w:r>
          </w:p>
        </w:tc>
      </w:tr>
      <w:tr w14:paraId="17FA7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noWrap w:val="0"/>
            <w:vAlign w:val="center"/>
          </w:tcPr>
          <w:p w14:paraId="67423EE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pacing w:val="-4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4"/>
                <w:kern w:val="2"/>
                <w:sz w:val="20"/>
                <w:szCs w:val="20"/>
                <w:lang w:val="en-US" w:eastAsia="zh-CN" w:bidi="ar-SA"/>
              </w:rPr>
              <w:t>服务要求响应情况</w:t>
            </w:r>
          </w:p>
          <w:p w14:paraId="60032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858" w:type="dxa"/>
            <w:noWrap w:val="0"/>
            <w:vAlign w:val="center"/>
          </w:tcPr>
          <w:p w14:paraId="664B3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15分</w:t>
            </w:r>
          </w:p>
        </w:tc>
        <w:tc>
          <w:tcPr>
            <w:tcW w:w="5769" w:type="dxa"/>
            <w:noWrap w:val="0"/>
            <w:vAlign w:val="top"/>
          </w:tcPr>
          <w:p w14:paraId="677FA6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对供应商的商务要求响应程度进行综合比较评价:</w:t>
            </w:r>
          </w:p>
          <w:p w14:paraId="3324CB8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第一档：响应全面，描述完备、细致，完全满足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需求的，得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2（含）-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15分；</w:t>
            </w:r>
          </w:p>
          <w:p w14:paraId="3037BB6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第二档：响应较全面、细致，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符合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需求的,得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9（含）-12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分；</w:t>
            </w:r>
          </w:p>
          <w:p w14:paraId="67BCC5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第三档：基本响应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需求，但有缺陷或部分一般指标不满足需求的，得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0-9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分。</w:t>
            </w:r>
          </w:p>
        </w:tc>
      </w:tr>
      <w:tr w14:paraId="010A2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1653" w:type="dxa"/>
            <w:noWrap w:val="0"/>
            <w:vAlign w:val="center"/>
          </w:tcPr>
          <w:p w14:paraId="2E0A5BF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spacing w:val="-4"/>
                <w:kern w:val="2"/>
                <w:sz w:val="20"/>
                <w:szCs w:val="20"/>
                <w:lang w:val="en-US" w:eastAsia="zh-CN" w:bidi="ar-SA"/>
              </w:rPr>
              <w:t>运营</w:t>
            </w:r>
            <w:r>
              <w:rPr>
                <w:rFonts w:hint="eastAsia" w:ascii="宋体" w:hAnsi="宋体" w:eastAsia="宋体" w:cs="宋体"/>
                <w:spacing w:val="-4"/>
                <w:kern w:val="2"/>
                <w:sz w:val="20"/>
                <w:szCs w:val="20"/>
                <w:lang w:val="en-US" w:eastAsia="zh-CN" w:bidi="ar-SA"/>
              </w:rPr>
              <w:t>方案</w:t>
            </w:r>
          </w:p>
        </w:tc>
        <w:tc>
          <w:tcPr>
            <w:tcW w:w="858" w:type="dxa"/>
            <w:noWrap w:val="0"/>
            <w:vAlign w:val="center"/>
          </w:tcPr>
          <w:p w14:paraId="333B1D8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30分</w:t>
            </w:r>
          </w:p>
        </w:tc>
        <w:tc>
          <w:tcPr>
            <w:tcW w:w="5769" w:type="dxa"/>
            <w:noWrap w:val="0"/>
            <w:vAlign w:val="top"/>
          </w:tcPr>
          <w:p w14:paraId="55FF7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根据项目的工作内容和要求制定科学、合理的工作运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营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 xml:space="preserve">方案，进行综合评价： </w:t>
            </w:r>
          </w:p>
          <w:p w14:paraId="44E3B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第一档：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方案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科学、合理、可行，质量保证措施可行性强，能满足本项目的实际需求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的，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得24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（含）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 xml:space="preserve">-30分； </w:t>
            </w:r>
          </w:p>
          <w:p w14:paraId="3DB5C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第二档：方案较合理，工作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安排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基本满足采购人需求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的，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得18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（含）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-2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 xml:space="preserve">分； </w:t>
            </w:r>
          </w:p>
          <w:p w14:paraId="22975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第三档：方案一般，工作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安排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缺少或不详细，无法满足采购人需求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的，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得0-1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分。</w:t>
            </w:r>
          </w:p>
        </w:tc>
      </w:tr>
      <w:tr w14:paraId="7005F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</w:trPr>
        <w:tc>
          <w:tcPr>
            <w:tcW w:w="1653" w:type="dxa"/>
            <w:noWrap w:val="0"/>
            <w:vAlign w:val="center"/>
          </w:tcPr>
          <w:p w14:paraId="1F85E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-4"/>
                <w:kern w:val="2"/>
                <w:sz w:val="20"/>
                <w:szCs w:val="20"/>
                <w:lang w:val="en-US" w:eastAsia="zh-CN" w:bidi="ar-SA"/>
              </w:rPr>
              <w:t>服务保障及</w:t>
            </w:r>
            <w:r>
              <w:rPr>
                <w:rFonts w:hint="eastAsia" w:ascii="宋体" w:hAnsi="宋体" w:cs="宋体"/>
                <w:spacing w:val="-4"/>
                <w:kern w:val="2"/>
                <w:sz w:val="20"/>
                <w:szCs w:val="20"/>
                <w:lang w:val="en-US" w:eastAsia="zh-CN" w:bidi="ar-SA"/>
              </w:rPr>
              <w:t>运营</w:t>
            </w:r>
            <w:r>
              <w:rPr>
                <w:rFonts w:hint="eastAsia" w:ascii="宋体" w:hAnsi="宋体" w:eastAsia="宋体" w:cs="宋体"/>
                <w:spacing w:val="-4"/>
                <w:kern w:val="2"/>
                <w:sz w:val="20"/>
                <w:szCs w:val="20"/>
                <w:lang w:val="en-US" w:eastAsia="zh-CN" w:bidi="ar-SA"/>
              </w:rPr>
              <w:t>体系</w:t>
            </w:r>
          </w:p>
        </w:tc>
        <w:tc>
          <w:tcPr>
            <w:tcW w:w="858" w:type="dxa"/>
            <w:noWrap w:val="0"/>
            <w:vAlign w:val="center"/>
          </w:tcPr>
          <w:p w14:paraId="32F27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15分</w:t>
            </w:r>
          </w:p>
        </w:tc>
        <w:tc>
          <w:tcPr>
            <w:tcW w:w="5769" w:type="dxa"/>
            <w:noWrap w:val="0"/>
            <w:vAlign w:val="top"/>
          </w:tcPr>
          <w:p w14:paraId="06C6F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根据项目的特点制定服务保障及运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营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体系，进行综合比较评价：</w:t>
            </w:r>
          </w:p>
          <w:p w14:paraId="3CE87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第一档：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措施合理，内容详细，可行性强，满足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采购人需求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的，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得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2（含）-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分；</w:t>
            </w:r>
          </w:p>
          <w:p w14:paraId="1EA80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第二档：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措施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eastAsia="zh-CN"/>
              </w:rPr>
              <w:t>较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合理，内容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eastAsia="zh-CN"/>
              </w:rPr>
              <w:t>较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详细，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eastAsia="zh-CN"/>
              </w:rPr>
              <w:t>基本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满足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采购人需求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的，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得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9（含）-12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分；</w:t>
            </w:r>
          </w:p>
          <w:p w14:paraId="43A32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第三档：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保障措施一般或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存在不符合服务内容及要求的，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得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0-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。</w:t>
            </w:r>
          </w:p>
        </w:tc>
      </w:tr>
      <w:tr w14:paraId="3D559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653" w:type="dxa"/>
            <w:noWrap w:val="0"/>
            <w:vAlign w:val="center"/>
          </w:tcPr>
          <w:p w14:paraId="34ECA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spacing w:val="-4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4"/>
                <w:kern w:val="2"/>
                <w:sz w:val="20"/>
                <w:szCs w:val="20"/>
                <w:lang w:val="en-US" w:eastAsia="zh-CN" w:bidi="ar-SA"/>
              </w:rPr>
              <w:t>应急方案</w:t>
            </w:r>
          </w:p>
          <w:p w14:paraId="3F44E4DC">
            <w:pPr>
              <w:pStyle w:val="2"/>
              <w:rPr>
                <w:rFonts w:hint="default"/>
                <w:color w:val="auto"/>
                <w:lang w:val="en-US" w:eastAsia="zh-CN"/>
              </w:rPr>
            </w:pPr>
          </w:p>
        </w:tc>
        <w:tc>
          <w:tcPr>
            <w:tcW w:w="858" w:type="dxa"/>
            <w:noWrap w:val="0"/>
            <w:vAlign w:val="center"/>
          </w:tcPr>
          <w:p w14:paraId="67464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color="auto" w:fill="FFFFFF"/>
                <w:lang w:val="en-US" w:eastAsia="zh-CN" w:bidi="ar-SA"/>
              </w:rPr>
              <w:t>10分</w:t>
            </w:r>
          </w:p>
        </w:tc>
        <w:tc>
          <w:tcPr>
            <w:tcW w:w="5769" w:type="dxa"/>
            <w:noWrap w:val="0"/>
            <w:vAlign w:val="top"/>
          </w:tcPr>
          <w:p w14:paraId="38268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根据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方案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覆盖场景完整性、处置流程可操作性、响应时效适配性等进行综合比较评价：</w:t>
            </w:r>
          </w:p>
          <w:p w14:paraId="2AD27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第一档：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方案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覆盖场景完整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处置流程可操作性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强，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响应时效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及时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，完全满足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采购人需求的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，得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（含）-1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分；</w:t>
            </w:r>
          </w:p>
          <w:p w14:paraId="2EE23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第二档：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方案覆盖必备场景，处置流程有基本可操作性，响应时效基本达标，符合采购人需求的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，得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（含）-</w:t>
            </w:r>
            <w:r>
              <w:rPr>
                <w:rFonts w:hint="eastAsia" w:ascii="宋体" w:hAnsi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分；</w:t>
            </w:r>
          </w:p>
          <w:p w14:paraId="4D17953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第三档：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方案缺失核心场景、处置流程模糊可操作性差，响应时效不符合要求，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  <w:t>得0-5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highlight w:val="none"/>
                <w:lang w:val="zh-CN" w:eastAsia="zh-CN" w:bidi="ar-SA"/>
              </w:rPr>
              <w:t>分。</w:t>
            </w:r>
          </w:p>
        </w:tc>
      </w:tr>
    </w:tbl>
    <w:p w14:paraId="6932F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评分说明： 供应商综合得分为所有评委打分的算术平均值，精确到小数点后2位。</w:t>
      </w:r>
    </w:p>
    <w:p w14:paraId="242E2A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C0B16"/>
    <w:rsid w:val="05DC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line="480" w:lineRule="auto"/>
      <w:ind w:firstLine="480"/>
    </w:pPr>
    <w:rPr>
      <w:rFonts w:ascii="仿宋_GB2312" w:eastAsia="仿宋_GB2312"/>
      <w:sz w:val="28"/>
    </w:rPr>
  </w:style>
  <w:style w:type="paragraph" w:styleId="4">
    <w:name w:val="Normal Indent"/>
    <w:basedOn w:val="1"/>
    <w:next w:val="5"/>
    <w:qFormat/>
    <w:uiPriority w:val="0"/>
    <w:pPr>
      <w:ind w:firstLine="880" w:firstLineChars="200"/>
    </w:pPr>
  </w:style>
  <w:style w:type="paragraph" w:customStyle="1" w:styleId="5">
    <w:name w:val="toc 21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">
    <w:name w:val="Body Text"/>
    <w:basedOn w:val="1"/>
    <w:next w:val="2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2026-10-19T09:58:00Z</dcterms:created>
  <dc:creator>liuyan</dc:creator>
  <cp:lastModifiedBy>liuyan</cp:lastModifiedBy>
  <dcterms:modified xsi:type="dcterms:W3CDTF">2026-10-19T09:58:33Z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A48CBAAEE4B7402ABAFA2111E4F6ED4A_11</vt:lpwstr>
  </property>
  <property fmtid="{D5CDD505-2E9C-101B-9397-08002B2CF9AE}" pid="4" name="KSOTemplateDocerSaveRecord">
    <vt:lpwstr>eyJoZGlkIjoiODViY2JkMjU3NGYzZTEwMzZmMGFkZWViYmNkYWU3NDIiLCJ1c2VySWQiOiIxNjI1MjAxNCJ9</vt:lpwstr>
  </property>
</Properties>
</file>