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560" w:lineRule="exact"/>
        <w:ind w:left="0" w:leftChars="0" w:firstLine="0" w:firstLineChars="0"/>
        <w:rPr>
          <w:rFonts w:hint="eastAsia" w:ascii="黑体" w:hAnsi="黑体" w:eastAsia="黑体" w:cs="黑体"/>
          <w:b w:val="0"/>
          <w:bCs/>
          <w:sz w:val="28"/>
          <w:szCs w:val="32"/>
          <w:lang w:val="en-US" w:eastAsia="zh-CN"/>
        </w:rPr>
      </w:pPr>
      <w:r>
        <w:rPr>
          <w:rFonts w:hint="eastAsia" w:ascii="黑体" w:hAnsi="黑体" w:eastAsia="黑体" w:cs="黑体"/>
          <w:b w:val="0"/>
          <w:bCs/>
          <w:sz w:val="28"/>
          <w:szCs w:val="32"/>
          <w:lang w:eastAsia="zh-CN"/>
        </w:rPr>
        <w:t>附件</w:t>
      </w:r>
      <w:r>
        <w:rPr>
          <w:rFonts w:hint="eastAsia" w:ascii="黑体" w:hAnsi="黑体" w:eastAsia="黑体" w:cs="黑体"/>
          <w:b w:val="0"/>
          <w:bCs/>
          <w:sz w:val="28"/>
          <w:szCs w:val="32"/>
          <w:lang w:val="en-US" w:eastAsia="zh-CN"/>
        </w:rPr>
        <w:t>1</w:t>
      </w:r>
    </w:p>
    <w:p>
      <w:pPr>
        <w:pStyle w:val="5"/>
        <w:spacing w:after="0" w:line="560" w:lineRule="exact"/>
        <w:ind w:left="0" w:leftChars="0" w:firstLine="0" w:firstLineChars="0"/>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文物普法宣传项目评分标准</w:t>
      </w:r>
    </w:p>
    <w:tbl>
      <w:tblPr>
        <w:tblStyle w:val="6"/>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96"/>
        <w:gridCol w:w="732"/>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662" w:type="dxa"/>
            <w:vAlign w:val="center"/>
          </w:tcPr>
          <w:p>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序号</w:t>
            </w:r>
          </w:p>
        </w:tc>
        <w:tc>
          <w:tcPr>
            <w:tcW w:w="1296" w:type="dxa"/>
            <w:vAlign w:val="center"/>
          </w:tcPr>
          <w:p>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评分内容</w:t>
            </w:r>
          </w:p>
        </w:tc>
        <w:tc>
          <w:tcPr>
            <w:tcW w:w="732" w:type="dxa"/>
            <w:vAlign w:val="center"/>
          </w:tcPr>
          <w:p>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分值</w:t>
            </w:r>
          </w:p>
        </w:tc>
        <w:tc>
          <w:tcPr>
            <w:tcW w:w="6758" w:type="dxa"/>
            <w:vAlign w:val="center"/>
          </w:tcPr>
          <w:p>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评分说明和标准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662" w:type="dxa"/>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ascii="宋体" w:hAnsi="宋体"/>
                <w:szCs w:val="21"/>
              </w:rPr>
            </w:pPr>
            <w:r>
              <w:rPr>
                <w:rFonts w:hint="eastAsia" w:ascii="宋体" w:hAnsi="宋体"/>
                <w:szCs w:val="21"/>
              </w:rPr>
              <w:t>1</w:t>
            </w:r>
          </w:p>
        </w:tc>
        <w:tc>
          <w:tcPr>
            <w:tcW w:w="1296" w:type="dxa"/>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ascii="宋体" w:hAnsi="宋体"/>
                <w:szCs w:val="21"/>
              </w:rPr>
            </w:pPr>
            <w:r>
              <w:rPr>
                <w:rFonts w:hint="eastAsia" w:ascii="宋体" w:hAnsi="宋体"/>
                <w:szCs w:val="21"/>
              </w:rPr>
              <w:t>报价得分</w:t>
            </w:r>
          </w:p>
        </w:tc>
        <w:tc>
          <w:tcPr>
            <w:tcW w:w="732" w:type="dxa"/>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10</w:t>
            </w:r>
          </w:p>
        </w:tc>
        <w:tc>
          <w:tcPr>
            <w:tcW w:w="6758" w:type="dxa"/>
            <w:vAlign w:val="center"/>
          </w:tcPr>
          <w:p>
            <w:pPr>
              <w:keepNext w:val="0"/>
              <w:keepLines w:val="0"/>
              <w:pageBreakBefore w:val="0"/>
              <w:widowControl/>
              <w:kinsoku/>
              <w:wordWrap w:val="0"/>
              <w:overflowPunct/>
              <w:topLinePunct w:val="0"/>
              <w:autoSpaceDE/>
              <w:autoSpaceDN/>
              <w:bidi w:val="0"/>
              <w:adjustRightInd/>
              <w:snapToGrid/>
              <w:spacing w:line="360" w:lineRule="exact"/>
              <w:jc w:val="left"/>
              <w:textAlignment w:val="auto"/>
              <w:rPr>
                <w:rFonts w:ascii="宋体" w:hAnsi="宋体"/>
                <w:szCs w:val="21"/>
              </w:rPr>
            </w:pPr>
            <w:r>
              <w:rPr>
                <w:rFonts w:hint="eastAsia" w:ascii="宋体" w:hAnsi="宋体"/>
                <w:szCs w:val="21"/>
              </w:rPr>
              <w:t>1.基准值：供应商最终有效报价的最低值。</w:t>
            </w:r>
          </w:p>
          <w:p>
            <w:pPr>
              <w:keepNext w:val="0"/>
              <w:keepLines w:val="0"/>
              <w:pageBreakBefore w:val="0"/>
              <w:widowControl/>
              <w:kinsoku/>
              <w:wordWrap w:val="0"/>
              <w:overflowPunct/>
              <w:topLinePunct w:val="0"/>
              <w:autoSpaceDE/>
              <w:autoSpaceDN/>
              <w:bidi w:val="0"/>
              <w:adjustRightInd/>
              <w:snapToGrid/>
              <w:spacing w:line="360" w:lineRule="exact"/>
              <w:jc w:val="left"/>
              <w:textAlignment w:val="auto"/>
              <w:rPr>
                <w:rFonts w:ascii="宋体" w:hAnsi="宋体"/>
                <w:szCs w:val="21"/>
              </w:rPr>
            </w:pPr>
            <w:r>
              <w:rPr>
                <w:rFonts w:hint="eastAsia" w:ascii="宋体" w:hAnsi="宋体"/>
                <w:szCs w:val="21"/>
              </w:rPr>
              <w:t>2.计算得分：有效报价等于基准值得标准分</w:t>
            </w:r>
            <w:r>
              <w:rPr>
                <w:rFonts w:hint="eastAsia" w:ascii="宋体" w:hAnsi="宋体"/>
                <w:szCs w:val="21"/>
                <w:lang w:val="en-US" w:eastAsia="zh-CN"/>
              </w:rPr>
              <w:t>10</w:t>
            </w:r>
            <w:r>
              <w:rPr>
                <w:rFonts w:hint="eastAsia" w:ascii="宋体" w:hAnsi="宋体"/>
                <w:szCs w:val="21"/>
              </w:rPr>
              <w:t>分；报价得分=基准值/供应商报价*</w:t>
            </w:r>
            <w:r>
              <w:rPr>
                <w:rFonts w:hint="eastAsia" w:ascii="宋体" w:hAnsi="宋体"/>
                <w:szCs w:val="21"/>
                <w:lang w:val="en-US" w:eastAsia="zh-CN"/>
              </w:rPr>
              <w:t>10</w:t>
            </w:r>
            <w:r>
              <w:rPr>
                <w:rFonts w:hint="eastAsia" w:ascii="宋体" w:hAnsi="宋体"/>
                <w:szCs w:val="21"/>
              </w:rPr>
              <w:t>。（报价得分保留两位小数，小数点后第三位四舍五入）</w:t>
            </w:r>
          </w:p>
          <w:p>
            <w:pPr>
              <w:keepNext w:val="0"/>
              <w:keepLines w:val="0"/>
              <w:pageBreakBefore w:val="0"/>
              <w:widowControl/>
              <w:kinsoku/>
              <w:wordWrap w:val="0"/>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3.有效报价：通过初步评审并经算术修正的报价为有效报价。</w:t>
            </w:r>
          </w:p>
          <w:p>
            <w:pPr>
              <w:keepNext w:val="0"/>
              <w:keepLines w:val="0"/>
              <w:pageBreakBefore w:val="0"/>
              <w:widowControl/>
              <w:kinsoku/>
              <w:wordWrap w:val="0"/>
              <w:overflowPunct/>
              <w:topLinePunct w:val="0"/>
              <w:autoSpaceDE/>
              <w:autoSpaceDN/>
              <w:bidi w:val="0"/>
              <w:adjustRightInd/>
              <w:snapToGrid/>
              <w:spacing w:line="360" w:lineRule="exact"/>
              <w:textAlignment w:val="auto"/>
              <w:rPr>
                <w:rFonts w:ascii="Times New Roman" w:hAnsi="Times New Roman"/>
              </w:rPr>
            </w:pPr>
            <w:r>
              <w:rPr>
                <w:rFonts w:hint="eastAsia" w:ascii="宋体" w:hAnsi="宋体"/>
                <w:szCs w:val="21"/>
              </w:rPr>
              <w:t>注：评审委员会认为供应商的报价明显低于其他通过符合性审查供应商的报价，有可能影响设备及服务质量或者不能诚信履约的，应当要求其在评审合理的时间内提供书面说明，必要时提交相关证明材料；供应商不能证明其报价合理性的，评审委员会应当将其作为无效申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662" w:type="dxa"/>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ascii="宋体" w:hAnsi="宋体"/>
                <w:szCs w:val="21"/>
              </w:rPr>
            </w:pPr>
            <w:r>
              <w:rPr>
                <w:rFonts w:hint="eastAsia" w:ascii="宋体" w:hAnsi="宋体"/>
                <w:szCs w:val="21"/>
              </w:rPr>
              <w:t>2</w:t>
            </w:r>
          </w:p>
        </w:tc>
        <w:tc>
          <w:tcPr>
            <w:tcW w:w="1296" w:type="dxa"/>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ascii="等线" w:hAnsi="等线" w:eastAsia="等线" w:cs="等线"/>
                <w:kern w:val="0"/>
                <w:szCs w:val="21"/>
              </w:rPr>
            </w:pPr>
            <w:r>
              <w:rPr>
                <w:rFonts w:ascii="宋体" w:hAnsi="宋体"/>
                <w:szCs w:val="21"/>
              </w:rPr>
              <w:t>项目理解和思</w:t>
            </w:r>
            <w:r>
              <w:rPr>
                <w:rFonts w:hint="eastAsia" w:ascii="宋体" w:hAnsi="宋体"/>
                <w:szCs w:val="21"/>
              </w:rPr>
              <w:t>路</w:t>
            </w:r>
          </w:p>
        </w:tc>
        <w:tc>
          <w:tcPr>
            <w:tcW w:w="732" w:type="dxa"/>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ascii="等线" w:hAnsi="等线" w:eastAsia="等线" w:cs="等线"/>
                <w:kern w:val="0"/>
                <w:szCs w:val="21"/>
              </w:rPr>
            </w:pPr>
            <w:r>
              <w:rPr>
                <w:rFonts w:ascii="宋体" w:hAnsi="宋体" w:eastAsia="等线"/>
                <w:szCs w:val="21"/>
              </w:rPr>
              <w:t>15</w:t>
            </w:r>
          </w:p>
        </w:tc>
        <w:tc>
          <w:tcPr>
            <w:tcW w:w="6758" w:type="dxa"/>
            <w:vAlign w:val="center"/>
          </w:tcPr>
          <w:p>
            <w:pPr>
              <w:keepNext w:val="0"/>
              <w:keepLines w:val="0"/>
              <w:pageBreakBefore w:val="0"/>
              <w:widowControl/>
              <w:kinsoku/>
              <w:wordWrap w:val="0"/>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根据供应商</w:t>
            </w:r>
            <w:r>
              <w:rPr>
                <w:rFonts w:ascii="宋体" w:hAnsi="宋体"/>
                <w:szCs w:val="21"/>
              </w:rPr>
              <w:t>对本次服务需求的理解情况及策划实施思</w:t>
            </w:r>
            <w:r>
              <w:rPr>
                <w:rFonts w:hint="eastAsia" w:ascii="宋体" w:hAnsi="宋体"/>
                <w:szCs w:val="21"/>
              </w:rPr>
              <w:t>路，重难点分析情况进行综合评价：</w:t>
            </w:r>
          </w:p>
          <w:p>
            <w:pPr>
              <w:keepNext w:val="0"/>
              <w:keepLines w:val="0"/>
              <w:pageBreakBefore w:val="0"/>
              <w:widowControl/>
              <w:kinsoku/>
              <w:wordWrap w:val="0"/>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（1）对本项目详细分析、理解透彻，重点、难点判断准确、 描述清楚，思路清晰、可行性高，得</w:t>
            </w:r>
            <w:r>
              <w:rPr>
                <w:rFonts w:ascii="宋体" w:hAnsi="宋体"/>
                <w:szCs w:val="21"/>
              </w:rPr>
              <w:t>15</w:t>
            </w:r>
            <w:r>
              <w:rPr>
                <w:rFonts w:hint="eastAsia" w:ascii="宋体" w:hAnsi="宋体"/>
                <w:szCs w:val="21"/>
              </w:rPr>
              <w:t>分；</w:t>
            </w:r>
          </w:p>
          <w:p>
            <w:pPr>
              <w:keepNext w:val="0"/>
              <w:keepLines w:val="0"/>
              <w:pageBreakBefore w:val="0"/>
              <w:widowControl/>
              <w:kinsoku/>
              <w:wordWrap w:val="0"/>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（2）对本项目进行分析，重点、难点有一定理解和阐述，思路较为完整，得</w:t>
            </w:r>
            <w:r>
              <w:rPr>
                <w:rFonts w:ascii="宋体" w:hAnsi="宋体"/>
                <w:szCs w:val="21"/>
              </w:rPr>
              <w:t>12</w:t>
            </w:r>
            <w:r>
              <w:rPr>
                <w:rFonts w:hint="eastAsia" w:ascii="宋体" w:hAnsi="宋体"/>
                <w:szCs w:val="21"/>
              </w:rPr>
              <w:t>分；</w:t>
            </w:r>
          </w:p>
          <w:p>
            <w:pPr>
              <w:keepNext w:val="0"/>
              <w:keepLines w:val="0"/>
              <w:pageBreakBefore w:val="0"/>
              <w:widowControl/>
              <w:kinsoku/>
              <w:wordWrap w:val="0"/>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（3）对本项目具备初步分析、理解，思路可行性可靠性较一般，得</w:t>
            </w:r>
            <w:r>
              <w:rPr>
                <w:rFonts w:ascii="宋体" w:hAnsi="宋体"/>
                <w:szCs w:val="21"/>
              </w:rPr>
              <w:t>9</w:t>
            </w:r>
            <w:r>
              <w:rPr>
                <w:rFonts w:hint="eastAsia" w:ascii="宋体" w:hAnsi="宋体"/>
                <w:szCs w:val="21"/>
              </w:rPr>
              <w:t>分；</w:t>
            </w:r>
          </w:p>
          <w:p>
            <w:pPr>
              <w:keepNext w:val="0"/>
              <w:keepLines w:val="0"/>
              <w:pageBreakBefore w:val="0"/>
              <w:widowControl/>
              <w:kinsoku/>
              <w:wordWrap w:val="0"/>
              <w:overflowPunct/>
              <w:topLinePunct w:val="0"/>
              <w:autoSpaceDE/>
              <w:autoSpaceDN/>
              <w:bidi w:val="0"/>
              <w:adjustRightInd/>
              <w:snapToGrid/>
              <w:spacing w:line="360" w:lineRule="exact"/>
              <w:textAlignment w:val="auto"/>
              <w:rPr>
                <w:rFonts w:ascii="等线" w:hAnsi="等线" w:eastAsia="等线" w:cs="等线"/>
                <w:kern w:val="0"/>
                <w:szCs w:val="21"/>
              </w:rPr>
            </w:pPr>
            <w:r>
              <w:rPr>
                <w:rFonts w:hint="eastAsia" w:ascii="宋体" w:hAnsi="宋体"/>
                <w:szCs w:val="21"/>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ascii="宋体" w:hAnsi="宋体"/>
                <w:szCs w:val="21"/>
              </w:rPr>
            </w:pPr>
            <w:r>
              <w:rPr>
                <w:rFonts w:hint="eastAsia" w:ascii="宋体" w:hAnsi="宋体"/>
                <w:szCs w:val="21"/>
              </w:rPr>
              <w:t>3</w:t>
            </w:r>
          </w:p>
        </w:tc>
        <w:tc>
          <w:tcPr>
            <w:tcW w:w="1296" w:type="dxa"/>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ascii="宋体" w:hAnsi="宋体"/>
                <w:szCs w:val="21"/>
              </w:rPr>
            </w:pPr>
            <w:r>
              <w:rPr>
                <w:rFonts w:hint="eastAsia" w:ascii="宋体" w:hAnsi="宋体"/>
                <w:szCs w:val="21"/>
              </w:rPr>
              <w:t>整体服务</w:t>
            </w:r>
            <w:r>
              <w:rPr>
                <w:rFonts w:hint="eastAsia" w:ascii="宋体" w:hAnsi="宋体"/>
                <w:szCs w:val="21"/>
                <w:lang w:eastAsia="zh-CN"/>
              </w:rPr>
              <w:t>实施</w:t>
            </w:r>
            <w:r>
              <w:rPr>
                <w:rFonts w:hint="eastAsia" w:ascii="宋体" w:hAnsi="宋体"/>
                <w:szCs w:val="21"/>
              </w:rPr>
              <w:t>方案评价</w:t>
            </w:r>
          </w:p>
        </w:tc>
        <w:tc>
          <w:tcPr>
            <w:tcW w:w="732" w:type="dxa"/>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szCs w:val="21"/>
                <w:lang w:val="en-US" w:eastAsia="zh-CN"/>
              </w:rPr>
            </w:pPr>
            <w:r>
              <w:rPr>
                <w:rFonts w:ascii="宋体" w:hAnsi="宋体"/>
                <w:szCs w:val="21"/>
              </w:rPr>
              <w:t>3</w:t>
            </w:r>
            <w:r>
              <w:rPr>
                <w:rFonts w:hint="eastAsia" w:ascii="宋体" w:hAnsi="宋体"/>
                <w:szCs w:val="21"/>
                <w:lang w:val="en-US" w:eastAsia="zh-CN"/>
              </w:rPr>
              <w:t>0</w:t>
            </w:r>
          </w:p>
        </w:tc>
        <w:tc>
          <w:tcPr>
            <w:tcW w:w="6758" w:type="dxa"/>
            <w:vAlign w:val="center"/>
          </w:tcPr>
          <w:p>
            <w:pPr>
              <w:keepNext w:val="0"/>
              <w:keepLines w:val="0"/>
              <w:pageBreakBefore w:val="0"/>
              <w:widowControl/>
              <w:kinsoku/>
              <w:overflowPunct/>
              <w:topLinePunct w:val="0"/>
              <w:autoSpaceDE/>
              <w:autoSpaceDN/>
              <w:bidi w:val="0"/>
              <w:adjustRightInd/>
              <w:snapToGrid/>
              <w:spacing w:line="360" w:lineRule="exact"/>
              <w:textAlignment w:val="auto"/>
              <w:rPr>
                <w:rFonts w:ascii="Times New Roman" w:hAnsi="Times New Roman"/>
              </w:rPr>
            </w:pPr>
            <w:r>
              <w:rPr>
                <w:rFonts w:hint="eastAsia" w:ascii="Times New Roman" w:hAnsi="Times New Roman"/>
              </w:rPr>
              <w:t>根据供应商整体服务实施方案进行综合比较打分：</w:t>
            </w:r>
          </w:p>
          <w:p>
            <w:pPr>
              <w:keepNext w:val="0"/>
              <w:keepLines w:val="0"/>
              <w:pageBreakBefore w:val="0"/>
              <w:widowControl/>
              <w:kinsoku/>
              <w:wordWrap w:val="0"/>
              <w:overflowPunct/>
              <w:topLinePunct w:val="0"/>
              <w:autoSpaceDE/>
              <w:autoSpaceDN/>
              <w:bidi w:val="0"/>
              <w:adjustRightInd/>
              <w:snapToGrid/>
              <w:spacing w:line="360" w:lineRule="exact"/>
              <w:textAlignment w:val="auto"/>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对本项目针对性强，技术方案合理、完整，思路清晰，有完整、准确表达出项目内容。能完全满足招标人要求，得</w:t>
            </w:r>
            <w:r>
              <w:rPr>
                <w:rFonts w:hint="eastAsia" w:ascii="宋体" w:hAnsi="宋体"/>
                <w:szCs w:val="21"/>
                <w:lang w:val="en-US" w:eastAsia="zh-CN"/>
              </w:rPr>
              <w:t>30分。</w:t>
            </w:r>
          </w:p>
          <w:p>
            <w:pPr>
              <w:keepNext w:val="0"/>
              <w:keepLines w:val="0"/>
              <w:pageBreakBefore w:val="0"/>
              <w:widowControl/>
              <w:kinsoku/>
              <w:wordWrap w:val="0"/>
              <w:overflowPunct/>
              <w:topLinePunct w:val="0"/>
              <w:autoSpaceDE/>
              <w:autoSpaceDN/>
              <w:bidi w:val="0"/>
              <w:adjustRightInd/>
              <w:snapToGrid/>
              <w:spacing w:line="360" w:lineRule="exact"/>
              <w:textAlignment w:val="auto"/>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对本项目针对性较强，技术方案合理，有完整、准确表达出项目内容，基本满足招标人要求，得</w:t>
            </w:r>
            <w:r>
              <w:rPr>
                <w:rFonts w:hint="eastAsia" w:ascii="宋体" w:hAnsi="宋体"/>
                <w:szCs w:val="21"/>
                <w:lang w:val="en-US" w:eastAsia="zh-CN"/>
              </w:rPr>
              <w:t>24分。</w:t>
            </w:r>
          </w:p>
          <w:p>
            <w:pPr>
              <w:keepNext w:val="0"/>
              <w:keepLines w:val="0"/>
              <w:pageBreakBefore w:val="0"/>
              <w:widowControl/>
              <w:kinsoku/>
              <w:wordWrap w:val="0"/>
              <w:overflowPunct/>
              <w:topLinePunct w:val="0"/>
              <w:autoSpaceDE/>
              <w:autoSpaceDN/>
              <w:bidi w:val="0"/>
              <w:adjustRightInd/>
              <w:snapToGrid/>
              <w:spacing w:line="360" w:lineRule="exact"/>
              <w:textAlignment w:val="auto"/>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对本项目针对性较弱，技术方案基本合理，但在满足招标人要求方面欠缺，思路欠清晰</w:t>
            </w:r>
            <w:r>
              <w:rPr>
                <w:rFonts w:hint="eastAsia" w:ascii="宋体" w:hAnsi="宋体"/>
                <w:szCs w:val="21"/>
                <w:lang w:eastAsia="zh-CN"/>
              </w:rPr>
              <w:t>，</w:t>
            </w:r>
            <w:r>
              <w:rPr>
                <w:rFonts w:hint="eastAsia" w:ascii="宋体" w:hAnsi="宋体"/>
                <w:szCs w:val="21"/>
              </w:rPr>
              <w:t>得</w:t>
            </w:r>
            <w:r>
              <w:rPr>
                <w:rFonts w:hint="eastAsia" w:ascii="宋体" w:hAnsi="宋体"/>
                <w:szCs w:val="21"/>
                <w:lang w:val="en-US" w:eastAsia="zh-CN"/>
              </w:rPr>
              <w:t>18</w:t>
            </w:r>
            <w:r>
              <w:rPr>
                <w:rFonts w:hint="eastAsia" w:ascii="宋体" w:hAnsi="宋体"/>
                <w:szCs w:val="21"/>
              </w:rPr>
              <w:t>分。</w:t>
            </w:r>
          </w:p>
          <w:p>
            <w:pPr>
              <w:keepNext w:val="0"/>
              <w:keepLines w:val="0"/>
              <w:pageBreakBefore w:val="0"/>
              <w:widowControl/>
              <w:kinsoku/>
              <w:wordWrap w:val="0"/>
              <w:overflowPunct/>
              <w:topLinePunct w:val="0"/>
              <w:autoSpaceDE/>
              <w:autoSpaceDN/>
              <w:bidi w:val="0"/>
              <w:adjustRightInd/>
              <w:snapToGrid/>
              <w:spacing w:line="360" w:lineRule="exact"/>
              <w:textAlignment w:val="auto"/>
              <w:rPr>
                <w:rFonts w:ascii="Times New Roman" w:hAnsi="Times New Roman"/>
              </w:rPr>
            </w:pPr>
            <w:r>
              <w:rPr>
                <w:rFonts w:hint="eastAsia" w:ascii="宋体" w:hAnsi="宋体"/>
                <w:szCs w:val="21"/>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2" w:type="dxa"/>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ascii="宋体" w:hAnsi="宋体"/>
                <w:szCs w:val="21"/>
              </w:rPr>
            </w:pPr>
            <w:r>
              <w:rPr>
                <w:rFonts w:hint="eastAsia" w:ascii="宋体" w:hAnsi="宋体"/>
                <w:szCs w:val="21"/>
              </w:rPr>
              <w:t>4</w:t>
            </w:r>
          </w:p>
        </w:tc>
        <w:tc>
          <w:tcPr>
            <w:tcW w:w="1296" w:type="dxa"/>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ascii="宋体" w:hAnsi="宋体"/>
                <w:szCs w:val="21"/>
              </w:rPr>
            </w:pPr>
            <w:r>
              <w:rPr>
                <w:rFonts w:hint="eastAsia" w:ascii="宋体" w:hAnsi="宋体"/>
                <w:szCs w:val="21"/>
              </w:rPr>
              <w:t>组织结构及项目团队</w:t>
            </w:r>
          </w:p>
        </w:tc>
        <w:tc>
          <w:tcPr>
            <w:tcW w:w="732" w:type="dxa"/>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1</w:t>
            </w:r>
            <w:bookmarkStart w:id="0" w:name="_GoBack"/>
            <w:bookmarkEnd w:id="0"/>
            <w:r>
              <w:rPr>
                <w:rFonts w:hint="eastAsia" w:ascii="宋体" w:hAnsi="宋体"/>
                <w:szCs w:val="21"/>
                <w:lang w:val="en-US" w:eastAsia="zh-CN"/>
              </w:rPr>
              <w:t>5</w:t>
            </w:r>
          </w:p>
        </w:tc>
        <w:tc>
          <w:tcPr>
            <w:tcW w:w="6758" w:type="dxa"/>
            <w:vAlign w:val="center"/>
          </w:tcPr>
          <w:p>
            <w:pPr>
              <w:keepNext w:val="0"/>
              <w:keepLines w:val="0"/>
              <w:pageBreakBefore w:val="0"/>
              <w:widowControl/>
              <w:kinsoku/>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根据供应商项目实施团队的组织结构和人员配备情况进行综合打分：</w:t>
            </w:r>
          </w:p>
          <w:p>
            <w:pPr>
              <w:keepNext w:val="0"/>
              <w:keepLines w:val="0"/>
              <w:pageBreakBefore w:val="0"/>
              <w:widowControl/>
              <w:kinsoku/>
              <w:overflowPunct/>
              <w:topLinePunct w:val="0"/>
              <w:autoSpaceDE/>
              <w:autoSpaceDN/>
              <w:bidi w:val="0"/>
              <w:adjustRightInd/>
              <w:snapToGrid/>
              <w:spacing w:line="360" w:lineRule="exact"/>
              <w:textAlignment w:val="auto"/>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组织管理机构完善、合理，团队人员构成专业性强、经验丰富符合项目特点的，得15分；</w:t>
            </w:r>
          </w:p>
          <w:p>
            <w:pPr>
              <w:keepNext w:val="0"/>
              <w:keepLines w:val="0"/>
              <w:pageBreakBefore w:val="0"/>
              <w:widowControl/>
              <w:kinsoku/>
              <w:overflowPunct/>
              <w:topLinePunct w:val="0"/>
              <w:autoSpaceDE/>
              <w:autoSpaceDN/>
              <w:bidi w:val="0"/>
              <w:adjustRightInd/>
              <w:snapToGrid/>
              <w:spacing w:line="360" w:lineRule="exact"/>
              <w:textAlignment w:val="auto"/>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组织管理机构健全、合理，团队人员构成和专业性较好，相关经验较丰富，符合项目需求的，得1</w:t>
            </w:r>
            <w:r>
              <w:rPr>
                <w:rFonts w:hint="eastAsia" w:ascii="宋体" w:hAnsi="宋体"/>
                <w:szCs w:val="21"/>
                <w:lang w:val="en-US" w:eastAsia="zh-CN"/>
              </w:rPr>
              <w:t>2</w:t>
            </w:r>
            <w:r>
              <w:rPr>
                <w:rFonts w:hint="eastAsia" w:ascii="宋体" w:hAnsi="宋体"/>
                <w:szCs w:val="21"/>
              </w:rPr>
              <w:t>分；</w:t>
            </w:r>
          </w:p>
          <w:p>
            <w:pPr>
              <w:keepNext w:val="0"/>
              <w:keepLines w:val="0"/>
              <w:pageBreakBefore w:val="0"/>
              <w:widowControl/>
              <w:kinsoku/>
              <w:overflowPunct/>
              <w:topLinePunct w:val="0"/>
              <w:autoSpaceDE/>
              <w:autoSpaceDN/>
              <w:bidi w:val="0"/>
              <w:adjustRightInd/>
              <w:snapToGrid/>
              <w:spacing w:line="360" w:lineRule="exact"/>
              <w:textAlignment w:val="auto"/>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组织管理机构和人员构成基本合理，专业性和相关经验有欠缺或低于其他档次供应商，得</w:t>
            </w:r>
            <w:r>
              <w:rPr>
                <w:rFonts w:hint="eastAsia" w:ascii="宋体" w:hAnsi="宋体"/>
                <w:szCs w:val="21"/>
                <w:lang w:val="en-US" w:eastAsia="zh-CN"/>
              </w:rPr>
              <w:t>9</w:t>
            </w:r>
            <w:r>
              <w:rPr>
                <w:rFonts w:hint="eastAsia" w:ascii="宋体" w:hAnsi="宋体"/>
                <w:szCs w:val="21"/>
              </w:rPr>
              <w:t>分。</w:t>
            </w:r>
          </w:p>
          <w:p>
            <w:pPr>
              <w:keepNext w:val="0"/>
              <w:keepLines w:val="0"/>
              <w:pageBreakBefore w:val="0"/>
              <w:widowControl/>
              <w:kinsoku/>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宋体" w:hAnsi="宋体" w:eastAsia="宋体"/>
                <w:szCs w:val="21"/>
                <w:lang w:val="en-US" w:eastAsia="zh-CN"/>
              </w:rPr>
            </w:pPr>
            <w:r>
              <w:rPr>
                <w:rFonts w:hint="eastAsia" w:ascii="宋体" w:hAnsi="宋体"/>
                <w:szCs w:val="21"/>
                <w:lang w:val="en-US" w:eastAsia="zh-CN"/>
              </w:rPr>
              <w:t>5</w:t>
            </w:r>
          </w:p>
        </w:tc>
        <w:tc>
          <w:tcPr>
            <w:tcW w:w="1296" w:type="dxa"/>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ascii="宋体" w:hAnsi="宋体"/>
                <w:szCs w:val="21"/>
              </w:rPr>
            </w:pPr>
            <w:r>
              <w:rPr>
                <w:rFonts w:hint="eastAsia" w:ascii="宋体" w:hAnsi="宋体"/>
                <w:szCs w:val="21"/>
              </w:rPr>
              <w:t>服务质量承诺及保障措施</w:t>
            </w:r>
          </w:p>
        </w:tc>
        <w:tc>
          <w:tcPr>
            <w:tcW w:w="732" w:type="dxa"/>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ascii="宋体" w:hAnsi="宋体"/>
                <w:szCs w:val="21"/>
              </w:rPr>
            </w:pPr>
            <w:r>
              <w:rPr>
                <w:rFonts w:ascii="宋体" w:hAnsi="宋体"/>
                <w:szCs w:val="21"/>
              </w:rPr>
              <w:t>1</w:t>
            </w:r>
            <w:r>
              <w:rPr>
                <w:rFonts w:hint="eastAsia" w:ascii="宋体" w:hAnsi="宋体"/>
                <w:szCs w:val="21"/>
              </w:rPr>
              <w:t>5</w:t>
            </w:r>
          </w:p>
        </w:tc>
        <w:tc>
          <w:tcPr>
            <w:tcW w:w="6758" w:type="dxa"/>
            <w:vAlign w:val="center"/>
          </w:tcPr>
          <w:p>
            <w:pPr>
              <w:keepNext w:val="0"/>
              <w:keepLines w:val="0"/>
              <w:pageBreakBefore w:val="0"/>
              <w:widowControl/>
              <w:kinsoku/>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根据供应商的服务质量与保证措施进行综合打分：</w:t>
            </w:r>
          </w:p>
          <w:p>
            <w:pPr>
              <w:keepNext w:val="0"/>
              <w:keepLines w:val="0"/>
              <w:pageBreakBefore w:val="0"/>
              <w:widowControl/>
              <w:kinsoku/>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（1）服务质量承诺优于比选人要求，质量保障体系及措施完善，科学合理，得</w:t>
            </w:r>
            <w:r>
              <w:rPr>
                <w:rFonts w:ascii="宋体" w:hAnsi="宋体"/>
                <w:szCs w:val="21"/>
              </w:rPr>
              <w:t>1</w:t>
            </w:r>
            <w:r>
              <w:rPr>
                <w:rFonts w:hint="eastAsia" w:ascii="宋体" w:hAnsi="宋体"/>
                <w:szCs w:val="21"/>
              </w:rPr>
              <w:t>5分；</w:t>
            </w:r>
          </w:p>
          <w:p>
            <w:pPr>
              <w:keepNext w:val="0"/>
              <w:keepLines w:val="0"/>
              <w:pageBreakBefore w:val="0"/>
              <w:widowControl/>
              <w:kinsoku/>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rPr>
              <w:t>（2）服务质量承诺较好，质量保障体系及措施较科学合理，得12分；</w:t>
            </w:r>
          </w:p>
          <w:p>
            <w:pPr>
              <w:keepNext w:val="0"/>
              <w:keepLines w:val="0"/>
              <w:pageBreakBefore w:val="0"/>
              <w:widowControl/>
              <w:kinsoku/>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szCs w:val="21"/>
              </w:rPr>
              <w:t>（3）服</w:t>
            </w:r>
            <w:r>
              <w:rPr>
                <w:rFonts w:hint="eastAsia" w:ascii="宋体" w:hAnsi="宋体" w:eastAsia="宋体" w:cs="宋体"/>
                <w:szCs w:val="21"/>
              </w:rPr>
              <w:t>务质量承诺一般，质量保障体系及措施一般，得9分；</w:t>
            </w:r>
          </w:p>
          <w:p>
            <w:pPr>
              <w:keepNext w:val="0"/>
              <w:keepLines w:val="0"/>
              <w:pageBreakBefore w:val="0"/>
              <w:widowControl/>
              <w:kinsoku/>
              <w:overflowPunct/>
              <w:topLinePunct w:val="0"/>
              <w:autoSpaceDE/>
              <w:autoSpaceDN/>
              <w:bidi w:val="0"/>
              <w:adjustRightInd/>
              <w:snapToGrid/>
              <w:spacing w:line="360" w:lineRule="exact"/>
              <w:textAlignment w:val="auto"/>
              <w:rPr>
                <w:rFonts w:ascii="宋体" w:hAnsi="宋体"/>
                <w:szCs w:val="21"/>
              </w:rPr>
            </w:pPr>
            <w:r>
              <w:rPr>
                <w:rFonts w:hint="eastAsia" w:ascii="宋体" w:hAnsi="宋体" w:eastAsia="宋体" w:cs="宋体"/>
              </w:rPr>
              <w:t>缺项，得0分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default" w:ascii="宋体" w:hAnsi="宋体"/>
                <w:szCs w:val="21"/>
                <w:lang w:val="en-US" w:eastAsia="zh-CN"/>
              </w:rPr>
            </w:pPr>
            <w:r>
              <w:rPr>
                <w:rFonts w:hint="eastAsia" w:ascii="宋体" w:hAnsi="宋体"/>
                <w:szCs w:val="21"/>
                <w:lang w:val="en-US" w:eastAsia="zh-CN"/>
              </w:rPr>
              <w:t>6</w:t>
            </w:r>
          </w:p>
        </w:tc>
        <w:tc>
          <w:tcPr>
            <w:tcW w:w="1296" w:type="dxa"/>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szCs w:val="21"/>
              </w:rPr>
            </w:pPr>
            <w:r>
              <w:rPr>
                <w:rFonts w:hint="eastAsia" w:ascii="宋体" w:hAnsi="宋体" w:eastAsia="宋体" w:cs="宋体"/>
                <w:sz w:val="24"/>
                <w:szCs w:val="24"/>
                <w:lang w:eastAsia="zh-CN"/>
              </w:rPr>
              <w:t>售后服务</w:t>
            </w:r>
          </w:p>
        </w:tc>
        <w:tc>
          <w:tcPr>
            <w:tcW w:w="732" w:type="dxa"/>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15</w:t>
            </w:r>
          </w:p>
        </w:tc>
        <w:tc>
          <w:tcPr>
            <w:tcW w:w="6758" w:type="dxa"/>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textAlignment w:val="auto"/>
              <w:rPr>
                <w:rFonts w:hint="eastAsia" w:ascii="宋体" w:hAnsi="宋体" w:eastAsia="宋体" w:cs="Times New Roman"/>
                <w:szCs w:val="21"/>
              </w:rPr>
            </w:pPr>
            <w:r>
              <w:rPr>
                <w:rFonts w:hint="eastAsia" w:ascii="宋体" w:hAnsi="宋体" w:eastAsia="宋体" w:cs="Times New Roman"/>
                <w:szCs w:val="21"/>
              </w:rPr>
              <w:t>根据供应商</w:t>
            </w:r>
            <w:r>
              <w:rPr>
                <w:rFonts w:hint="eastAsia" w:ascii="宋体" w:hAnsi="宋体" w:eastAsia="宋体" w:cs="Times New Roman"/>
                <w:szCs w:val="21"/>
                <w:lang w:eastAsia="zh-CN"/>
              </w:rPr>
              <w:t>售后服务</w:t>
            </w:r>
            <w:r>
              <w:rPr>
                <w:rFonts w:hint="eastAsia" w:ascii="宋体" w:hAnsi="宋体" w:eastAsia="宋体" w:cs="Times New Roman"/>
                <w:szCs w:val="21"/>
              </w:rPr>
              <w:t>进行综合评价：</w:t>
            </w:r>
          </w:p>
          <w:p>
            <w:pPr>
              <w:keepNext w:val="0"/>
              <w:keepLines w:val="0"/>
              <w:pageBreakBefore w:val="0"/>
              <w:widowControl/>
              <w:kinsoku/>
              <w:overflowPunct/>
              <w:topLinePunct w:val="0"/>
              <w:autoSpaceDE/>
              <w:autoSpaceDN/>
              <w:bidi w:val="0"/>
              <w:adjustRightInd/>
              <w:snapToGrid/>
              <w:spacing w:line="360" w:lineRule="exact"/>
              <w:textAlignment w:val="auto"/>
              <w:rPr>
                <w:rFonts w:hint="eastAsia"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eastAsia="zh-CN"/>
              </w:rPr>
              <w:t>售后服务</w:t>
            </w:r>
            <w:r>
              <w:rPr>
                <w:rFonts w:hint="eastAsia" w:ascii="宋体" w:hAnsi="宋体" w:eastAsia="宋体" w:cs="Times New Roman"/>
                <w:szCs w:val="21"/>
              </w:rPr>
              <w:t>全面，符合采购需求，得1</w:t>
            </w:r>
            <w:r>
              <w:rPr>
                <w:rFonts w:hint="eastAsia" w:ascii="宋体" w:hAnsi="宋体" w:eastAsia="宋体" w:cs="Times New Roman"/>
                <w:szCs w:val="21"/>
                <w:lang w:val="en-US" w:eastAsia="zh-CN"/>
              </w:rPr>
              <w:t>5</w:t>
            </w:r>
            <w:r>
              <w:rPr>
                <w:rFonts w:hint="eastAsia" w:ascii="宋体" w:hAnsi="宋体" w:eastAsia="宋体" w:cs="Times New Roman"/>
                <w:szCs w:val="21"/>
              </w:rPr>
              <w:t>分；</w:t>
            </w:r>
          </w:p>
          <w:p>
            <w:pPr>
              <w:keepNext w:val="0"/>
              <w:keepLines w:val="0"/>
              <w:pageBreakBefore w:val="0"/>
              <w:widowControl/>
              <w:kinsoku/>
              <w:overflowPunct/>
              <w:topLinePunct w:val="0"/>
              <w:autoSpaceDE/>
              <w:autoSpaceDN/>
              <w:bidi w:val="0"/>
              <w:adjustRightInd/>
              <w:snapToGrid/>
              <w:spacing w:line="360" w:lineRule="exact"/>
              <w:textAlignment w:val="auto"/>
              <w:rPr>
                <w:rFonts w:hint="eastAsia" w:ascii="宋体" w:hAnsi="宋体" w:eastAsia="宋体" w:cs="Times New Roman"/>
                <w:szCs w:val="21"/>
              </w:rPr>
            </w:pPr>
            <w:r>
              <w:rPr>
                <w:rFonts w:hint="eastAsia" w:ascii="宋体" w:hAnsi="宋体" w:eastAsia="宋体" w:cs="Times New Roman"/>
                <w:szCs w:val="21"/>
              </w:rPr>
              <w:t>（2）</w:t>
            </w:r>
            <w:r>
              <w:rPr>
                <w:rFonts w:hint="eastAsia" w:ascii="宋体" w:hAnsi="宋体" w:eastAsia="宋体" w:cs="Times New Roman"/>
                <w:szCs w:val="21"/>
                <w:lang w:eastAsia="zh-CN"/>
              </w:rPr>
              <w:t>售后服务较</w:t>
            </w:r>
            <w:r>
              <w:rPr>
                <w:rFonts w:hint="eastAsia" w:ascii="宋体" w:hAnsi="宋体" w:eastAsia="宋体" w:cs="Times New Roman"/>
                <w:szCs w:val="21"/>
              </w:rPr>
              <w:t>全面，符合采购需求，得</w:t>
            </w:r>
            <w:r>
              <w:rPr>
                <w:rFonts w:hint="eastAsia" w:ascii="宋体" w:hAnsi="宋体" w:eastAsia="宋体" w:cs="Times New Roman"/>
                <w:szCs w:val="21"/>
                <w:lang w:val="en-US" w:eastAsia="zh-CN"/>
              </w:rPr>
              <w:t>12</w:t>
            </w:r>
            <w:r>
              <w:rPr>
                <w:rFonts w:hint="eastAsia" w:ascii="宋体" w:hAnsi="宋体" w:eastAsia="宋体" w:cs="Times New Roman"/>
                <w:szCs w:val="21"/>
              </w:rPr>
              <w:t>分；</w:t>
            </w:r>
          </w:p>
          <w:p>
            <w:pPr>
              <w:keepNext w:val="0"/>
              <w:keepLines w:val="0"/>
              <w:pageBreakBefore w:val="0"/>
              <w:widowControl/>
              <w:kinsoku/>
              <w:overflowPunct/>
              <w:topLinePunct w:val="0"/>
              <w:autoSpaceDE/>
              <w:autoSpaceDN/>
              <w:bidi w:val="0"/>
              <w:adjustRightInd/>
              <w:snapToGrid/>
              <w:spacing w:line="360" w:lineRule="exact"/>
              <w:textAlignment w:val="auto"/>
              <w:rPr>
                <w:rFonts w:hint="eastAsia" w:ascii="宋体" w:hAnsi="宋体" w:eastAsia="宋体" w:cs="Times New Roman"/>
                <w:szCs w:val="21"/>
              </w:rPr>
            </w:pPr>
            <w:r>
              <w:rPr>
                <w:rFonts w:hint="eastAsia" w:ascii="宋体" w:hAnsi="宋体" w:eastAsia="宋体" w:cs="Times New Roman"/>
                <w:szCs w:val="21"/>
              </w:rPr>
              <w:t>（3）</w:t>
            </w:r>
            <w:r>
              <w:rPr>
                <w:rFonts w:hint="eastAsia" w:ascii="宋体" w:hAnsi="宋体" w:eastAsia="宋体" w:cs="Times New Roman"/>
                <w:szCs w:val="21"/>
                <w:lang w:eastAsia="zh-CN"/>
              </w:rPr>
              <w:t>售后服务欠</w:t>
            </w:r>
            <w:r>
              <w:rPr>
                <w:rFonts w:hint="eastAsia" w:ascii="宋体" w:hAnsi="宋体" w:eastAsia="宋体" w:cs="Times New Roman"/>
                <w:szCs w:val="21"/>
              </w:rPr>
              <w:t>全面，针对性一般，得</w:t>
            </w:r>
            <w:r>
              <w:rPr>
                <w:rFonts w:hint="eastAsia" w:ascii="宋体" w:hAnsi="宋体" w:eastAsia="宋体" w:cs="Times New Roman"/>
                <w:szCs w:val="21"/>
                <w:lang w:val="en-US" w:eastAsia="zh-CN"/>
              </w:rPr>
              <w:t>9</w:t>
            </w:r>
            <w:r>
              <w:rPr>
                <w:rFonts w:hint="eastAsia" w:ascii="宋体" w:hAnsi="宋体" w:eastAsia="宋体" w:cs="Times New Roman"/>
                <w:szCs w:val="21"/>
              </w:rPr>
              <w:t>分，</w:t>
            </w:r>
          </w:p>
          <w:p>
            <w:pPr>
              <w:keepNext w:val="0"/>
              <w:keepLines w:val="0"/>
              <w:pageBreakBefore w:val="0"/>
              <w:widowControl/>
              <w:kinsoku/>
              <w:overflowPunct/>
              <w:topLinePunct w:val="0"/>
              <w:autoSpaceDE/>
              <w:autoSpaceDN/>
              <w:bidi w:val="0"/>
              <w:adjustRightInd/>
              <w:snapToGrid/>
              <w:spacing w:line="3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Times New Roman"/>
                <w:szCs w:val="21"/>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958" w:type="dxa"/>
            <w:gridSpan w:val="2"/>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ascii="等线" w:hAnsi="等线" w:eastAsia="等线" w:cs="等线"/>
                <w:kern w:val="0"/>
                <w:szCs w:val="21"/>
              </w:rPr>
            </w:pPr>
            <w:r>
              <w:rPr>
                <w:rFonts w:hint="eastAsia" w:ascii="等线" w:hAnsi="等线" w:eastAsia="等线" w:cs="等线"/>
                <w:kern w:val="0"/>
                <w:szCs w:val="21"/>
              </w:rPr>
              <w:t>合计</w:t>
            </w:r>
          </w:p>
        </w:tc>
        <w:tc>
          <w:tcPr>
            <w:tcW w:w="732" w:type="dxa"/>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ascii="等线" w:hAnsi="等线" w:eastAsia="等线" w:cs="等线"/>
                <w:kern w:val="0"/>
                <w:szCs w:val="21"/>
              </w:rPr>
            </w:pPr>
            <w:r>
              <w:rPr>
                <w:rFonts w:hint="eastAsia" w:ascii="等线" w:hAnsi="等线" w:eastAsia="等线" w:cs="等线"/>
                <w:kern w:val="0"/>
                <w:szCs w:val="21"/>
              </w:rPr>
              <w:t>1</w:t>
            </w:r>
            <w:r>
              <w:rPr>
                <w:rFonts w:ascii="等线" w:hAnsi="等线" w:eastAsia="等线" w:cs="等线"/>
                <w:kern w:val="0"/>
                <w:szCs w:val="21"/>
              </w:rPr>
              <w:t>00</w:t>
            </w:r>
          </w:p>
        </w:tc>
        <w:tc>
          <w:tcPr>
            <w:tcW w:w="6758" w:type="dxa"/>
            <w:vAlign w:val="center"/>
          </w:tcPr>
          <w:p>
            <w:pPr>
              <w:keepNext w:val="0"/>
              <w:keepLines w:val="0"/>
              <w:pageBreakBefore w:val="0"/>
              <w:widowControl/>
              <w:kinsoku/>
              <w:wordWrap w:val="0"/>
              <w:overflowPunct/>
              <w:topLinePunct w:val="0"/>
              <w:autoSpaceDE/>
              <w:autoSpaceDN/>
              <w:bidi w:val="0"/>
              <w:adjustRightInd/>
              <w:snapToGrid/>
              <w:spacing w:line="360" w:lineRule="exact"/>
              <w:textAlignment w:val="auto"/>
              <w:rPr>
                <w:rFonts w:ascii="等线" w:hAnsi="等线" w:eastAsia="等线" w:cs="等线"/>
                <w:kern w:val="0"/>
                <w:szCs w:val="21"/>
              </w:rPr>
            </w:pPr>
            <w:r>
              <w:rPr>
                <w:rFonts w:hint="eastAsia" w:ascii="等线" w:hAnsi="等线" w:eastAsia="等线" w:cs="等线"/>
                <w:kern w:val="0"/>
                <w:szCs w:val="21"/>
              </w:rPr>
              <w:t>　</w:t>
            </w:r>
          </w:p>
        </w:tc>
      </w:tr>
    </w:tbl>
    <w:p>
      <w:pPr>
        <w:spacing w:line="400" w:lineRule="exact"/>
        <w:jc w:val="left"/>
        <w:rPr>
          <w:rFonts w:ascii="宋体" w:hAnsi="宋体"/>
          <w:b/>
          <w:szCs w:val="21"/>
        </w:rPr>
      </w:pPr>
      <w:r>
        <w:rPr>
          <w:rFonts w:ascii="宋体" w:hAnsi="宋体"/>
          <w:b/>
          <w:szCs w:val="21"/>
        </w:rPr>
        <w:t>评分说明：</w:t>
      </w:r>
      <w:r>
        <w:rPr>
          <w:rFonts w:hint="eastAsia" w:ascii="宋体" w:hAnsi="宋体"/>
          <w:b/>
          <w:szCs w:val="21"/>
        </w:rPr>
        <w:t>供应商综合得分为所有评委打分的算术平均值，精确到小数点后2位。</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28"/>
    <w:family w:val="roman"/>
    <w:pitch w:val="default"/>
    <w:sig w:usb0="00000000" w:usb1="00000000"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211FFE"/>
    <w:rsid w:val="000C16EA"/>
    <w:rsid w:val="00150BDA"/>
    <w:rsid w:val="00211FFE"/>
    <w:rsid w:val="00305EA8"/>
    <w:rsid w:val="00575A3A"/>
    <w:rsid w:val="00647C69"/>
    <w:rsid w:val="00773266"/>
    <w:rsid w:val="00D26A02"/>
    <w:rsid w:val="00F1260F"/>
    <w:rsid w:val="02E07CDD"/>
    <w:rsid w:val="0880445B"/>
    <w:rsid w:val="35D30962"/>
    <w:rsid w:val="551C3173"/>
    <w:rsid w:val="63263CE2"/>
    <w:rsid w:val="77BFE1FD"/>
    <w:rsid w:val="7AD33181"/>
    <w:rsid w:val="ABFC566E"/>
    <w:rsid w:val="BFBB28BF"/>
    <w:rsid w:val="DF8603FA"/>
    <w:rsid w:val="FBFE9E68"/>
    <w:rsid w:val="FD2F2A26"/>
    <w:rsid w:val="FE6F5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semiHidden/>
    <w:unhideWhenUsed/>
    <w:qFormat/>
    <w:uiPriority w:val="99"/>
    <w:pPr>
      <w:spacing w:after="120"/>
      <w:ind w:left="420" w:leftChars="2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First Indent 2"/>
    <w:basedOn w:val="2"/>
    <w:link w:val="11"/>
    <w:unhideWhenUsed/>
    <w:qFormat/>
    <w:uiPriority w:val="99"/>
    <w:pPr>
      <w:ind w:firstLine="420" w:firstLineChars="200"/>
    </w:p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缩进 字符"/>
    <w:basedOn w:val="7"/>
    <w:link w:val="2"/>
    <w:semiHidden/>
    <w:qFormat/>
    <w:uiPriority w:val="99"/>
    <w:rPr>
      <w:rFonts w:ascii="Calibri" w:hAnsi="Calibri" w:eastAsia="宋体" w:cs="Times New Roman"/>
      <w:szCs w:val="24"/>
    </w:rPr>
  </w:style>
  <w:style w:type="character" w:customStyle="1" w:styleId="11">
    <w:name w:val="正文文本首行缩进 2 字符"/>
    <w:basedOn w:val="10"/>
    <w:link w:val="5"/>
    <w:qFormat/>
    <w:uiPriority w:val="99"/>
    <w:rPr>
      <w:rFonts w:ascii="Calibri" w:hAnsi="Calibri" w:eastAsia="宋体" w:cs="Times New Roman"/>
      <w:szCs w:val="24"/>
    </w:rPr>
  </w:style>
  <w:style w:type="paragraph" w:customStyle="1" w:styleId="12">
    <w:name w:val="默认段落字体 Para Char Char Char Char Char Char Char"/>
    <w:basedOn w:val="1"/>
    <w:qFormat/>
    <w:uiPriority w:val="0"/>
    <w:pPr>
      <w:adjustRightInd w:val="0"/>
      <w:spacing w:line="360" w:lineRule="auto"/>
      <w:ind w:left="200" w:hanging="200" w:hanging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2779</Words>
  <Characters>2816</Characters>
  <Lines>21</Lines>
  <Paragraphs>5</Paragraphs>
  <TotalTime>2</TotalTime>
  <ScaleCrop>false</ScaleCrop>
  <LinksUpToDate>false</LinksUpToDate>
  <CharactersWithSpaces>2822</CharactersWithSpaces>
  <Application>WPS Office_11.1.0.11723_F1E327BC-269C-435d-A152-05C5408002CA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2023-10-08T17:30:00Z</dcterms:created>
  <dc:creator>Zixuan Guo</dc:creator>
  <cp:lastModifiedBy>wwj</cp:lastModifiedBy>
  <dcterms:modified xsi:type="dcterms:W3CDTF">2025-04-16T15:28:21Z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2052-11.1.0.11723</vt:lpwstr>
  </property>
  <property fmtid="{D5CDD505-2E9C-101B-9397-08002B2CF9AE}" pid="3" name="ICV">
    <vt:lpwstr>4353DF7BA32A44CC80493ADCEA14481A_12</vt:lpwstr>
  </property>
  <property fmtid="{D5CDD505-2E9C-101B-9397-08002B2CF9AE}" pid="4" name="KSOTemplateDocerSaveRecord">
    <vt:lpwstr>eyJoZGlkIjoiNGRiZDc0NGM3ZDVhODUwNzU2NmM0ODNkZDRkMjQ3YjQifQ==</vt:lpwstr>
  </property>
</Properties>
</file>