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46EF1">
      <w:pPr>
        <w:pStyle w:val="2"/>
        <w:spacing w:after="0" w:line="560" w:lineRule="exact"/>
        <w:ind w:left="0" w:leftChars="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26EBFB8E">
      <w:pPr>
        <w:pStyle w:val="2"/>
        <w:spacing w:after="0" w:line="560" w:lineRule="exact"/>
        <w:ind w:left="0" w:leftChars="0"/>
      </w:pPr>
    </w:p>
    <w:p w14:paraId="658C124B">
      <w:pPr>
        <w:pStyle w:val="2"/>
        <w:spacing w:after="0" w:line="56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比选办法</w:t>
      </w:r>
    </w:p>
    <w:p w14:paraId="4F30085E">
      <w:pPr>
        <w:keepNext/>
        <w:keepLines/>
        <w:spacing w:line="560" w:lineRule="exact"/>
        <w:ind w:firstLine="640" w:firstLineChars="200"/>
        <w:outlineLvl w:val="1"/>
        <w:rPr>
          <w:rFonts w:hint="eastAsia" w:ascii="黑体" w:hAnsi="黑体" w:eastAsia="黑体" w:cs="宋体"/>
          <w:sz w:val="32"/>
          <w:szCs w:val="32"/>
        </w:rPr>
      </w:pPr>
      <w:bookmarkStart w:id="0" w:name="_Toc8752605"/>
      <w:bookmarkStart w:id="1" w:name="_Toc28105"/>
      <w:bookmarkStart w:id="2" w:name="_Toc470562808"/>
    </w:p>
    <w:p w14:paraId="0676D6E9">
      <w:pPr>
        <w:keepNext/>
        <w:keepLines/>
        <w:spacing w:line="560" w:lineRule="exact"/>
        <w:ind w:firstLine="640" w:firstLineChars="200"/>
        <w:outlineLvl w:val="1"/>
        <w:rPr>
          <w:rFonts w:ascii="黑体" w:hAnsi="黑体" w:eastAsia="黑体" w:cs="宋体"/>
          <w:sz w:val="32"/>
          <w:szCs w:val="32"/>
        </w:rPr>
      </w:pPr>
      <w:r>
        <w:rPr>
          <w:rFonts w:hint="eastAsia" w:ascii="黑体" w:hAnsi="黑体" w:eastAsia="黑体" w:cs="宋体"/>
          <w:sz w:val="32"/>
          <w:szCs w:val="32"/>
        </w:rPr>
        <w:t>一、评审方法</w:t>
      </w:r>
      <w:bookmarkEnd w:id="0"/>
      <w:bookmarkEnd w:id="1"/>
      <w:bookmarkEnd w:id="2"/>
    </w:p>
    <w:p w14:paraId="286759A3">
      <w:pPr>
        <w:tabs>
          <w:tab w:val="left" w:pos="8280"/>
        </w:tabs>
        <w:spacing w:line="560" w:lineRule="exact"/>
        <w:ind w:firstLine="640" w:firstLineChars="200"/>
        <w:rPr>
          <w:rFonts w:ascii="仿宋_GB2312" w:hAnsi="宋体" w:eastAsia="仿宋_GB2312"/>
          <w:sz w:val="32"/>
          <w:szCs w:val="32"/>
        </w:rPr>
      </w:pPr>
      <w:bookmarkStart w:id="3" w:name="_Toc414112655"/>
      <w:bookmarkStart w:id="4" w:name="_Toc152042381"/>
      <w:bookmarkStart w:id="5" w:name="_Toc414277167"/>
      <w:bookmarkStart w:id="6" w:name="_Toc144974571"/>
      <w:bookmarkStart w:id="7" w:name="_Toc470562809"/>
      <w:bookmarkStart w:id="8" w:name="_Toc13665"/>
      <w:bookmarkStart w:id="9" w:name="_Toc152045604"/>
      <w:r>
        <w:rPr>
          <w:rFonts w:hint="eastAsia" w:ascii="仿宋_GB2312" w:hAnsi="宋体" w:eastAsia="仿宋_GB2312"/>
          <w:sz w:val="32"/>
          <w:szCs w:val="32"/>
        </w:rPr>
        <w:t>本次评标采用综合评估法。评审小组对满足比选文件实质性要求的比选申请文件，按照本章评分表及说明中规定的评分标准进行打分，并按综合得分由高到低顺序推荐1-3名成交候选人，但报价低于其成本的除外。综合得分相等时，以报价低的优先；报价也相等的，由比选人或其授权的评审小组自行确定。</w:t>
      </w:r>
    </w:p>
    <w:p w14:paraId="1D4653C7">
      <w:pPr>
        <w:keepNext/>
        <w:keepLines/>
        <w:spacing w:line="560" w:lineRule="exact"/>
        <w:ind w:firstLine="640" w:firstLineChars="200"/>
        <w:outlineLvl w:val="1"/>
        <w:rPr>
          <w:rFonts w:ascii="黑体" w:hAnsi="黑体" w:eastAsia="黑体" w:cs="宋体"/>
          <w:sz w:val="32"/>
          <w:szCs w:val="32"/>
        </w:rPr>
      </w:pPr>
      <w:bookmarkStart w:id="10" w:name="_Toc8752606"/>
      <w:bookmarkStart w:id="11" w:name="_Hlk40048612"/>
      <w:bookmarkStart w:id="12" w:name="_Hlk40049144"/>
      <w:r>
        <w:rPr>
          <w:rFonts w:hint="eastAsia" w:ascii="黑体" w:hAnsi="黑体" w:eastAsia="黑体" w:cs="宋体"/>
          <w:sz w:val="32"/>
          <w:szCs w:val="32"/>
        </w:rPr>
        <w:t>二、评审程序</w:t>
      </w:r>
      <w:bookmarkEnd w:id="3"/>
      <w:bookmarkEnd w:id="4"/>
      <w:bookmarkEnd w:id="5"/>
      <w:bookmarkEnd w:id="6"/>
      <w:bookmarkEnd w:id="7"/>
      <w:bookmarkEnd w:id="8"/>
      <w:bookmarkEnd w:id="9"/>
      <w:bookmarkEnd w:id="10"/>
    </w:p>
    <w:p w14:paraId="3373EDEB">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1.评审工作按以下程序进行：</w:t>
      </w:r>
    </w:p>
    <w:p w14:paraId="7E2D447D">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（1）比选申请文件初审；</w:t>
      </w:r>
    </w:p>
    <w:p w14:paraId="0A5E3432">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（2）澄清有关问题；</w:t>
      </w:r>
    </w:p>
    <w:p w14:paraId="03C88D63">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（3）比较与评价；</w:t>
      </w:r>
    </w:p>
    <w:p w14:paraId="48B4B7F3">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（4）推荐成交候选人名单。</w:t>
      </w:r>
    </w:p>
    <w:p w14:paraId="5E3AE7D4">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2.评审小组按照上述程序审查供应商的比选申请文件，评审程序中的前一项程序未通过的比选申请文件不再进入下一程序的评审。</w:t>
      </w:r>
      <w:bookmarkEnd w:id="11"/>
    </w:p>
    <w:p w14:paraId="286CBB7E">
      <w:pPr>
        <w:keepNext/>
        <w:keepLines/>
        <w:spacing w:line="560" w:lineRule="exact"/>
        <w:ind w:firstLine="640" w:firstLineChars="200"/>
        <w:outlineLvl w:val="1"/>
        <w:rPr>
          <w:rFonts w:ascii="黑体" w:hAnsi="黑体" w:eastAsia="黑体" w:cs="宋体"/>
          <w:sz w:val="32"/>
          <w:szCs w:val="32"/>
        </w:rPr>
      </w:pPr>
      <w:bookmarkStart w:id="13" w:name="_Toc470562810"/>
      <w:bookmarkStart w:id="14" w:name="_Toc14558"/>
      <w:bookmarkStart w:id="15" w:name="_Toc8752607"/>
      <w:r>
        <w:rPr>
          <w:rFonts w:hint="eastAsia" w:ascii="黑体" w:hAnsi="黑体" w:eastAsia="黑体" w:cs="宋体"/>
          <w:sz w:val="32"/>
          <w:szCs w:val="32"/>
        </w:rPr>
        <w:t>三、比选申请文件初审</w:t>
      </w:r>
      <w:bookmarkEnd w:id="13"/>
      <w:bookmarkEnd w:id="14"/>
      <w:bookmarkEnd w:id="15"/>
    </w:p>
    <w:p w14:paraId="6B4830AC">
      <w:pPr>
        <w:spacing w:line="560" w:lineRule="exact"/>
        <w:ind w:firstLine="640" w:firstLineChars="200"/>
        <w:rPr>
          <w:rFonts w:ascii="楷体_GB2312" w:hAnsi="Times New Roman" w:eastAsia="楷体_GB2312" w:cs="宋体"/>
          <w:sz w:val="32"/>
          <w:szCs w:val="32"/>
        </w:rPr>
      </w:pPr>
      <w:bookmarkStart w:id="16" w:name="_Toc470562811"/>
      <w:bookmarkStart w:id="17" w:name="_Toc19575"/>
      <w:bookmarkStart w:id="18" w:name="_Toc414112658"/>
      <w:bookmarkStart w:id="19" w:name="_Toc152045607"/>
      <w:bookmarkStart w:id="20" w:name="_Toc144974575"/>
      <w:bookmarkStart w:id="21" w:name="_Toc414277170"/>
      <w:bookmarkStart w:id="22" w:name="_Toc152042385"/>
      <w:bookmarkStart w:id="23" w:name="_Toc152042384"/>
      <w:bookmarkStart w:id="24" w:name="_Toc414277169"/>
      <w:bookmarkStart w:id="25" w:name="_Toc152045606"/>
      <w:bookmarkStart w:id="26" w:name="_Toc144974573"/>
      <w:bookmarkStart w:id="27" w:name="_Toc414112657"/>
      <w:r>
        <w:rPr>
          <w:rFonts w:hint="eastAsia" w:ascii="楷体_GB2312" w:hAnsi="Times New Roman" w:eastAsia="楷体_GB2312" w:cs="宋体"/>
          <w:sz w:val="32"/>
          <w:szCs w:val="32"/>
        </w:rPr>
        <w:t>1.资格评审</w:t>
      </w:r>
    </w:p>
    <w:p w14:paraId="74E02E00">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评审小组根据“表1资格审查评审标准”对响应供应商进行评审，如发现供应商不符合资格审查评审标准要求的，资格审查不予通过。</w:t>
      </w:r>
    </w:p>
    <w:p w14:paraId="7E2F7BEC">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2.符合性评审</w:t>
      </w:r>
    </w:p>
    <w:p w14:paraId="450DA427">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评审小组根据“表2符合性评审标准”对响应供应商进行评审，如发现供应商不符合符合性评审标准要求的，符合性评审不予通过。</w:t>
      </w:r>
    </w:p>
    <w:bookmarkEnd w:id="12"/>
    <w:p w14:paraId="75EABDAC">
      <w:pPr>
        <w:keepNext/>
        <w:keepLines/>
        <w:spacing w:line="560" w:lineRule="exact"/>
        <w:ind w:firstLine="640" w:firstLineChars="200"/>
        <w:outlineLvl w:val="1"/>
        <w:rPr>
          <w:rFonts w:ascii="黑体" w:hAnsi="黑体" w:eastAsia="黑体" w:cs="宋体"/>
          <w:sz w:val="32"/>
          <w:szCs w:val="32"/>
        </w:rPr>
      </w:pPr>
      <w:bookmarkStart w:id="28" w:name="_Toc8752608"/>
      <w:r>
        <w:rPr>
          <w:rFonts w:hint="eastAsia" w:ascii="黑体" w:hAnsi="黑体" w:eastAsia="黑体" w:cs="宋体"/>
          <w:sz w:val="32"/>
          <w:szCs w:val="32"/>
        </w:rPr>
        <w:t>四、澄清有关问题</w:t>
      </w:r>
      <w:bookmarkEnd w:id="16"/>
      <w:bookmarkEnd w:id="17"/>
      <w:bookmarkEnd w:id="28"/>
    </w:p>
    <w:bookmarkEnd w:id="18"/>
    <w:bookmarkEnd w:id="19"/>
    <w:bookmarkEnd w:id="20"/>
    <w:bookmarkEnd w:id="21"/>
    <w:bookmarkEnd w:id="22"/>
    <w:p w14:paraId="6CC7A004">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对比选申请文件中含义不明确、同类问题表述不一致或者有明显文字和计算错误的内容，评审小组可以书面形式（应当由评审小组专家签字）要求供应商作出必要的澄清、说明或者纠正。供应商的澄清、说明或者补正应当采用书面形式，由其授权的委托代理人签字，并不得超出比选申请文件的范围或者改变比选申请文件的实质性内容。</w:t>
      </w:r>
    </w:p>
    <w:p w14:paraId="420F0F7E">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要求供应商澄清、说明或者更正比选申请文件应当以书面形式作出。供应商的澄清、说明或者更正应当由法定代表人或其委托代理人签字或者加盖公章。由委托代理人签字的，应当附法定代表人授权书。供应商为自然人的，应当由本人签字并附身份证明。</w:t>
      </w:r>
    </w:p>
    <w:bookmarkEnd w:id="23"/>
    <w:bookmarkEnd w:id="24"/>
    <w:bookmarkEnd w:id="25"/>
    <w:bookmarkEnd w:id="26"/>
    <w:bookmarkEnd w:id="27"/>
    <w:p w14:paraId="73C10235">
      <w:pPr>
        <w:keepNext/>
        <w:keepLines/>
        <w:spacing w:line="560" w:lineRule="exact"/>
        <w:ind w:firstLine="640" w:firstLineChars="200"/>
        <w:outlineLvl w:val="1"/>
        <w:rPr>
          <w:rFonts w:ascii="黑体" w:hAnsi="黑体" w:eastAsia="黑体" w:cs="宋体"/>
          <w:sz w:val="32"/>
          <w:szCs w:val="32"/>
        </w:rPr>
      </w:pPr>
      <w:bookmarkStart w:id="29" w:name="_Toc8752609"/>
      <w:bookmarkStart w:id="30" w:name="_Toc21870"/>
      <w:bookmarkStart w:id="31" w:name="_Toc470562812"/>
      <w:r>
        <w:rPr>
          <w:rFonts w:hint="eastAsia" w:ascii="黑体" w:hAnsi="黑体" w:eastAsia="黑体" w:cs="宋体"/>
          <w:sz w:val="32"/>
          <w:szCs w:val="32"/>
        </w:rPr>
        <w:t>五、比较与评价</w:t>
      </w:r>
      <w:bookmarkEnd w:id="29"/>
      <w:bookmarkEnd w:id="30"/>
      <w:bookmarkEnd w:id="31"/>
    </w:p>
    <w:p w14:paraId="7FB7BB85">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的大写金额和小写金额不一致的，以大写金额为准；总报价金额与分项报价汇总金额不一致的，以分项报价金额计算结果为准修正总报价；分项报价金额小数点有明显错位的，应以总报价为准，并修正分项报价。如果供应商不接受对其算术错误的更正，其比选申请文件可能被否决。</w:t>
      </w:r>
    </w:p>
    <w:p w14:paraId="32D862A0">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2.按比选文件中规定的评标方法和标准，对资格性检查和符合性检查合格的比选申请文件进行综合评审。</w:t>
      </w:r>
      <w:bookmarkStart w:id="32" w:name="_Toc414112659"/>
      <w:bookmarkStart w:id="33" w:name="_Toc144974576"/>
      <w:bookmarkStart w:id="34" w:name="_Toc4656"/>
      <w:bookmarkStart w:id="35" w:name="_Toc470562813"/>
      <w:bookmarkStart w:id="36" w:name="_Toc152042386"/>
      <w:bookmarkStart w:id="37" w:name="_Toc414277171"/>
      <w:bookmarkStart w:id="38" w:name="_Toc152045608"/>
    </w:p>
    <w:p w14:paraId="49B19B13">
      <w:pPr>
        <w:keepNext/>
        <w:keepLines/>
        <w:spacing w:line="560" w:lineRule="exact"/>
        <w:ind w:firstLine="640" w:firstLineChars="200"/>
        <w:outlineLvl w:val="1"/>
        <w:rPr>
          <w:rFonts w:ascii="黑体" w:hAnsi="黑体" w:eastAsia="黑体" w:cs="宋体"/>
          <w:sz w:val="32"/>
          <w:szCs w:val="32"/>
        </w:rPr>
      </w:pPr>
      <w:bookmarkStart w:id="39" w:name="_Toc8752610"/>
      <w:r>
        <w:rPr>
          <w:rFonts w:hint="eastAsia" w:ascii="黑体" w:hAnsi="黑体" w:eastAsia="黑体" w:cs="宋体"/>
          <w:sz w:val="32"/>
          <w:szCs w:val="32"/>
        </w:rPr>
        <w:t>六、评审结果</w:t>
      </w:r>
      <w:bookmarkEnd w:id="32"/>
      <w:bookmarkEnd w:id="33"/>
      <w:bookmarkEnd w:id="34"/>
      <w:bookmarkEnd w:id="35"/>
      <w:bookmarkEnd w:id="36"/>
      <w:bookmarkEnd w:id="37"/>
      <w:bookmarkEnd w:id="38"/>
      <w:bookmarkEnd w:id="39"/>
    </w:p>
    <w:p w14:paraId="5A8C7CC0">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1.评审小组按照综合得分由高到低的顺序推荐成交候选人，根据比选人授权确定中选供应商。</w:t>
      </w:r>
    </w:p>
    <w:p w14:paraId="088E239A">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2.评审小组完成评审后，应当向比选人提交书面评审报告。</w:t>
      </w:r>
    </w:p>
    <w:p w14:paraId="259B6A7C">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3.若排名第一的中选供应商放弃成交资格或未按比选文件规定签订合同则由排名第二的成交候选人递补，以此类推，直至确定成交供应商。</w:t>
      </w:r>
    </w:p>
    <w:p w14:paraId="7454FE3A">
      <w:pPr>
        <w:spacing w:line="560" w:lineRule="exact"/>
        <w:rPr>
          <w:rFonts w:ascii="宋体" w:hAnsi="宋体"/>
          <w:b/>
          <w:sz w:val="28"/>
          <w:szCs w:val="28"/>
        </w:rPr>
      </w:pPr>
      <w:r>
        <w:rPr>
          <w:rFonts w:ascii="宋体" w:hAnsi="Times New Roman" w:cs="宋体"/>
          <w:szCs w:val="21"/>
        </w:rPr>
        <w:br w:type="page"/>
      </w:r>
      <w:bookmarkStart w:id="40" w:name="_Hlk107348130"/>
      <w:r>
        <w:rPr>
          <w:rFonts w:hint="eastAsia" w:ascii="宋体" w:hAnsi="宋体"/>
          <w:b/>
          <w:sz w:val="28"/>
          <w:szCs w:val="32"/>
        </w:rPr>
        <w:t>表1</w:t>
      </w:r>
      <w:r>
        <w:rPr>
          <w:rFonts w:ascii="宋体" w:hAnsi="宋体"/>
          <w:b/>
          <w:sz w:val="28"/>
          <w:szCs w:val="32"/>
        </w:rPr>
        <w:t xml:space="preserve"> 资格审查</w:t>
      </w:r>
      <w:r>
        <w:rPr>
          <w:rFonts w:hint="eastAsia" w:ascii="宋体" w:hAnsi="宋体"/>
          <w:b/>
          <w:sz w:val="28"/>
          <w:szCs w:val="32"/>
        </w:rPr>
        <w:t>评审标准</w:t>
      </w:r>
      <w:bookmarkEnd w:id="40"/>
    </w:p>
    <w:tbl>
      <w:tblPr>
        <w:tblStyle w:val="6"/>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280"/>
        <w:gridCol w:w="4492"/>
        <w:gridCol w:w="772"/>
        <w:gridCol w:w="861"/>
      </w:tblGrid>
      <w:tr w14:paraId="75F21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61" w:type="dxa"/>
            <w:vMerge w:val="restart"/>
            <w:tcBorders>
              <w:right w:val="single" w:color="auto" w:sz="4" w:space="0"/>
            </w:tcBorders>
            <w:vAlign w:val="center"/>
          </w:tcPr>
          <w:p w14:paraId="22D97459">
            <w:pPr>
              <w:spacing w:line="400" w:lineRule="exact"/>
              <w:jc w:val="center"/>
              <w:rPr>
                <w:rFonts w:ascii="宋体" w:hAnsi="宋体"/>
                <w:b/>
                <w:szCs w:val="21"/>
              </w:rPr>
            </w:pPr>
            <w:r>
              <w:rPr>
                <w:rFonts w:ascii="宋体" w:hAnsi="宋体"/>
                <w:b/>
                <w:szCs w:val="21"/>
              </w:rPr>
              <w:t>序号</w:t>
            </w:r>
          </w:p>
        </w:tc>
        <w:tc>
          <w:tcPr>
            <w:tcW w:w="2280" w:type="dxa"/>
            <w:vMerge w:val="restart"/>
            <w:tcBorders>
              <w:left w:val="single" w:color="auto" w:sz="4" w:space="0"/>
            </w:tcBorders>
            <w:vAlign w:val="center"/>
          </w:tcPr>
          <w:p w14:paraId="09A2CF81">
            <w:pPr>
              <w:spacing w:line="400" w:lineRule="exact"/>
              <w:jc w:val="center"/>
              <w:rPr>
                <w:rFonts w:ascii="宋体" w:hAnsi="宋体"/>
                <w:b/>
                <w:szCs w:val="21"/>
              </w:rPr>
            </w:pPr>
            <w:r>
              <w:rPr>
                <w:rFonts w:ascii="宋体" w:hAnsi="宋体"/>
                <w:b/>
                <w:szCs w:val="21"/>
              </w:rPr>
              <w:t>评审内容</w:t>
            </w:r>
          </w:p>
        </w:tc>
        <w:tc>
          <w:tcPr>
            <w:tcW w:w="4492" w:type="dxa"/>
            <w:vMerge w:val="restart"/>
            <w:tcBorders>
              <w:right w:val="single" w:color="auto" w:sz="4" w:space="0"/>
            </w:tcBorders>
            <w:vAlign w:val="center"/>
          </w:tcPr>
          <w:p w14:paraId="4A69E38B">
            <w:pPr>
              <w:spacing w:line="400" w:lineRule="exact"/>
              <w:jc w:val="center"/>
              <w:rPr>
                <w:rFonts w:ascii="宋体" w:hAnsi="宋体"/>
                <w:b/>
                <w:szCs w:val="21"/>
              </w:rPr>
            </w:pPr>
            <w:r>
              <w:rPr>
                <w:rFonts w:ascii="宋体" w:hAnsi="宋体"/>
                <w:b/>
                <w:szCs w:val="21"/>
              </w:rPr>
              <w:t>审查条件</w:t>
            </w:r>
          </w:p>
        </w:tc>
        <w:tc>
          <w:tcPr>
            <w:tcW w:w="1633" w:type="dxa"/>
            <w:gridSpan w:val="2"/>
            <w:tcBorders>
              <w:left w:val="single" w:color="auto" w:sz="4" w:space="0"/>
              <w:bottom w:val="single" w:color="auto" w:sz="4" w:space="0"/>
            </w:tcBorders>
            <w:vAlign w:val="center"/>
          </w:tcPr>
          <w:p w14:paraId="7D16430B">
            <w:pPr>
              <w:spacing w:line="400" w:lineRule="exact"/>
              <w:jc w:val="center"/>
              <w:rPr>
                <w:rFonts w:ascii="宋体" w:hAnsi="宋体"/>
                <w:b/>
                <w:szCs w:val="21"/>
              </w:rPr>
            </w:pPr>
            <w:r>
              <w:rPr>
                <w:rFonts w:ascii="宋体" w:hAnsi="宋体"/>
                <w:b/>
                <w:szCs w:val="21"/>
              </w:rPr>
              <w:t>审查结果</w:t>
            </w:r>
          </w:p>
        </w:tc>
      </w:tr>
      <w:tr w14:paraId="4848A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61" w:type="dxa"/>
            <w:vMerge w:val="continue"/>
            <w:tcBorders>
              <w:right w:val="single" w:color="auto" w:sz="4" w:space="0"/>
            </w:tcBorders>
            <w:vAlign w:val="center"/>
          </w:tcPr>
          <w:p w14:paraId="4E30D727">
            <w:pPr>
              <w:spacing w:line="400" w:lineRule="exact"/>
              <w:jc w:val="center"/>
              <w:rPr>
                <w:rFonts w:ascii="宋体" w:hAnsi="宋体"/>
                <w:b/>
                <w:szCs w:val="21"/>
              </w:rPr>
            </w:pPr>
          </w:p>
        </w:tc>
        <w:tc>
          <w:tcPr>
            <w:tcW w:w="2280" w:type="dxa"/>
            <w:vMerge w:val="continue"/>
            <w:tcBorders>
              <w:left w:val="single" w:color="auto" w:sz="4" w:space="0"/>
            </w:tcBorders>
            <w:vAlign w:val="center"/>
          </w:tcPr>
          <w:p w14:paraId="751A52DB">
            <w:pPr>
              <w:spacing w:line="400" w:lineRule="exact"/>
              <w:jc w:val="center"/>
              <w:rPr>
                <w:rFonts w:ascii="宋体" w:hAnsi="宋体"/>
                <w:b/>
                <w:szCs w:val="21"/>
              </w:rPr>
            </w:pPr>
          </w:p>
        </w:tc>
        <w:tc>
          <w:tcPr>
            <w:tcW w:w="4492" w:type="dxa"/>
            <w:vMerge w:val="continue"/>
            <w:tcBorders>
              <w:right w:val="single" w:color="auto" w:sz="4" w:space="0"/>
            </w:tcBorders>
            <w:vAlign w:val="center"/>
          </w:tcPr>
          <w:p w14:paraId="55A2552B">
            <w:pPr>
              <w:spacing w:line="400" w:lineRule="exact"/>
              <w:jc w:val="center"/>
              <w:rPr>
                <w:rFonts w:ascii="宋体" w:hAnsi="宋体"/>
                <w:b/>
                <w:szCs w:val="21"/>
              </w:rPr>
            </w:pPr>
          </w:p>
        </w:tc>
        <w:tc>
          <w:tcPr>
            <w:tcW w:w="772" w:type="dxa"/>
            <w:tcBorders>
              <w:top w:val="single" w:color="auto" w:sz="4" w:space="0"/>
              <w:left w:val="single" w:color="auto" w:sz="4" w:space="0"/>
              <w:right w:val="single" w:color="auto" w:sz="4" w:space="0"/>
            </w:tcBorders>
            <w:vAlign w:val="center"/>
          </w:tcPr>
          <w:p w14:paraId="4B472DE4">
            <w:pPr>
              <w:spacing w:line="400" w:lineRule="exact"/>
              <w:jc w:val="center"/>
              <w:rPr>
                <w:rFonts w:ascii="宋体" w:hAnsi="宋体"/>
                <w:b/>
                <w:szCs w:val="21"/>
              </w:rPr>
            </w:pPr>
            <w:r>
              <w:rPr>
                <w:rFonts w:ascii="宋体" w:hAnsi="宋体"/>
                <w:b/>
                <w:szCs w:val="21"/>
              </w:rPr>
              <w:t>合格</w:t>
            </w:r>
          </w:p>
        </w:tc>
        <w:tc>
          <w:tcPr>
            <w:tcW w:w="861" w:type="dxa"/>
            <w:tcBorders>
              <w:top w:val="single" w:color="auto" w:sz="4" w:space="0"/>
              <w:left w:val="single" w:color="auto" w:sz="4" w:space="0"/>
            </w:tcBorders>
            <w:vAlign w:val="center"/>
          </w:tcPr>
          <w:p w14:paraId="7655BD05">
            <w:pPr>
              <w:spacing w:line="400" w:lineRule="exact"/>
              <w:jc w:val="center"/>
              <w:rPr>
                <w:rFonts w:ascii="宋体" w:hAnsi="宋体"/>
                <w:b/>
                <w:szCs w:val="21"/>
              </w:rPr>
            </w:pPr>
            <w:r>
              <w:rPr>
                <w:rFonts w:ascii="宋体" w:hAnsi="宋体"/>
                <w:b/>
                <w:szCs w:val="21"/>
              </w:rPr>
              <w:t>不合格</w:t>
            </w:r>
          </w:p>
        </w:tc>
      </w:tr>
      <w:tr w14:paraId="140C3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861" w:type="dxa"/>
            <w:tcBorders>
              <w:right w:val="single" w:color="auto" w:sz="4" w:space="0"/>
            </w:tcBorders>
            <w:vAlign w:val="center"/>
          </w:tcPr>
          <w:p w14:paraId="04206FEF">
            <w:pPr>
              <w:spacing w:line="400" w:lineRule="exact"/>
              <w:jc w:val="center"/>
              <w:rPr>
                <w:rFonts w:ascii="宋体" w:hAnsi="宋体"/>
                <w:b/>
                <w:szCs w:val="21"/>
              </w:rPr>
            </w:pPr>
            <w:r>
              <w:rPr>
                <w:rFonts w:ascii="宋体" w:hAnsi="宋体"/>
                <w:b/>
                <w:szCs w:val="21"/>
              </w:rPr>
              <w:t>1</w:t>
            </w:r>
          </w:p>
        </w:tc>
        <w:tc>
          <w:tcPr>
            <w:tcW w:w="2280" w:type="dxa"/>
            <w:tcBorders>
              <w:left w:val="single" w:color="auto" w:sz="4" w:space="0"/>
            </w:tcBorders>
            <w:vAlign w:val="center"/>
          </w:tcPr>
          <w:p w14:paraId="28C801EE">
            <w:pPr>
              <w:spacing w:line="400" w:lineRule="exact"/>
              <w:jc w:val="center"/>
              <w:rPr>
                <w:rFonts w:ascii="宋体" w:hAnsi="宋体"/>
                <w:b/>
                <w:szCs w:val="21"/>
              </w:rPr>
            </w:pPr>
            <w:r>
              <w:rPr>
                <w:rFonts w:ascii="宋体" w:hAnsi="宋体"/>
                <w:b/>
                <w:szCs w:val="21"/>
              </w:rPr>
              <w:t>营业</w:t>
            </w:r>
            <w:r>
              <w:rPr>
                <w:rFonts w:hint="eastAsia" w:ascii="宋体" w:hAnsi="宋体"/>
                <w:b/>
                <w:szCs w:val="21"/>
              </w:rPr>
              <w:t>执照</w:t>
            </w:r>
          </w:p>
        </w:tc>
        <w:tc>
          <w:tcPr>
            <w:tcW w:w="4492" w:type="dxa"/>
            <w:tcBorders>
              <w:right w:val="single" w:color="auto" w:sz="4" w:space="0"/>
            </w:tcBorders>
            <w:vAlign w:val="center"/>
          </w:tcPr>
          <w:p w14:paraId="25434D3E">
            <w:pPr>
              <w:spacing w:line="400" w:lineRule="exact"/>
              <w:rPr>
                <w:rFonts w:ascii="宋体" w:hAnsi="宋体"/>
                <w:szCs w:val="21"/>
              </w:rPr>
            </w:pPr>
            <w:r>
              <w:rPr>
                <w:rFonts w:hint="eastAsia" w:ascii="宋体" w:hAnsi="宋体"/>
                <w:szCs w:val="21"/>
              </w:rPr>
              <w:t>附企业法人营业执照、事业单位提供事业单位法人证书，社会团体法人证书、非企业专业服务机构提供相关执照、个体工商户提供个体工商户营业执照、自然人提供自然人身份证明复印件（或扫描件）。</w:t>
            </w:r>
          </w:p>
        </w:tc>
        <w:tc>
          <w:tcPr>
            <w:tcW w:w="772" w:type="dxa"/>
            <w:tcBorders>
              <w:left w:val="single" w:color="auto" w:sz="4" w:space="0"/>
              <w:right w:val="single" w:color="auto" w:sz="4" w:space="0"/>
            </w:tcBorders>
            <w:vAlign w:val="center"/>
          </w:tcPr>
          <w:p w14:paraId="3C10C310">
            <w:pPr>
              <w:spacing w:line="400" w:lineRule="exact"/>
              <w:rPr>
                <w:rFonts w:ascii="宋体" w:hAnsi="宋体"/>
                <w:szCs w:val="21"/>
              </w:rPr>
            </w:pPr>
          </w:p>
        </w:tc>
        <w:tc>
          <w:tcPr>
            <w:tcW w:w="861" w:type="dxa"/>
            <w:tcBorders>
              <w:left w:val="single" w:color="auto" w:sz="4" w:space="0"/>
            </w:tcBorders>
            <w:vAlign w:val="center"/>
          </w:tcPr>
          <w:p w14:paraId="6A960132">
            <w:pPr>
              <w:spacing w:line="400" w:lineRule="exact"/>
              <w:rPr>
                <w:rFonts w:ascii="宋体" w:hAnsi="宋体"/>
                <w:szCs w:val="21"/>
              </w:rPr>
            </w:pPr>
          </w:p>
        </w:tc>
      </w:tr>
      <w:tr w14:paraId="17062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14:paraId="5C4426C1">
            <w:pPr>
              <w:spacing w:line="400" w:lineRule="exact"/>
              <w:jc w:val="center"/>
              <w:rPr>
                <w:rFonts w:ascii="宋体" w:hAnsi="宋体"/>
                <w:b/>
                <w:szCs w:val="21"/>
              </w:rPr>
            </w:pPr>
            <w:r>
              <w:rPr>
                <w:rFonts w:hint="eastAsia" w:ascii="宋体" w:hAnsi="宋体"/>
                <w:b/>
                <w:szCs w:val="21"/>
              </w:rPr>
              <w:t>2</w:t>
            </w:r>
          </w:p>
        </w:tc>
        <w:tc>
          <w:tcPr>
            <w:tcW w:w="2280" w:type="dxa"/>
            <w:tcBorders>
              <w:left w:val="single" w:color="auto" w:sz="4" w:space="0"/>
            </w:tcBorders>
            <w:vAlign w:val="center"/>
          </w:tcPr>
          <w:p w14:paraId="6FC6342A">
            <w:pPr>
              <w:spacing w:line="400" w:lineRule="exact"/>
              <w:jc w:val="center"/>
              <w:rPr>
                <w:rFonts w:ascii="宋体" w:hAnsi="宋体"/>
                <w:b/>
                <w:szCs w:val="21"/>
              </w:rPr>
            </w:pPr>
            <w:r>
              <w:rPr>
                <w:rFonts w:hint="eastAsia" w:ascii="宋体" w:hAnsi="宋体"/>
                <w:b/>
                <w:szCs w:val="21"/>
              </w:rPr>
              <w:t>承诺函</w:t>
            </w:r>
          </w:p>
        </w:tc>
        <w:tc>
          <w:tcPr>
            <w:tcW w:w="4492" w:type="dxa"/>
            <w:tcBorders>
              <w:right w:val="single" w:color="auto" w:sz="4" w:space="0"/>
            </w:tcBorders>
            <w:vAlign w:val="center"/>
          </w:tcPr>
          <w:p w14:paraId="460A1E3D">
            <w:pPr>
              <w:spacing w:line="400" w:lineRule="exact"/>
              <w:rPr>
                <w:rFonts w:ascii="宋体" w:hAnsi="宋体"/>
                <w:szCs w:val="21"/>
              </w:rPr>
            </w:pPr>
            <w:r>
              <w:rPr>
                <w:rFonts w:hint="eastAsia" w:ascii="宋体" w:hAnsi="宋体"/>
                <w:szCs w:val="21"/>
              </w:rPr>
              <w:t>提供供应商符合资格条件的承诺函，并加盖公章，承诺应包括以下内容：</w:t>
            </w:r>
          </w:p>
          <w:p w14:paraId="5D99E39B">
            <w:pPr>
              <w:spacing w:line="400" w:lineRule="exact"/>
              <w:rPr>
                <w:rFonts w:ascii="宋体" w:hAnsi="宋体"/>
                <w:szCs w:val="21"/>
              </w:rPr>
            </w:pPr>
            <w:r>
              <w:rPr>
                <w:rFonts w:hint="eastAsia" w:ascii="宋体" w:hAnsi="宋体"/>
                <w:szCs w:val="21"/>
              </w:rPr>
              <w:t>（1）具有独立承担民事责任的能力；</w:t>
            </w:r>
          </w:p>
          <w:p w14:paraId="1FE90063">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w:t>
            </w:r>
          </w:p>
          <w:p w14:paraId="741AF039">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）有依法缴纳税收和社会保障资金的良好记录；</w:t>
            </w:r>
          </w:p>
          <w:p w14:paraId="76FEA71E">
            <w:pPr>
              <w:spacing w:line="400" w:lineRule="exact"/>
              <w:rPr>
                <w:rFonts w:ascii="宋体" w:hAnsi="宋体"/>
                <w:b/>
                <w:bCs/>
                <w:szCs w:val="21"/>
              </w:rPr>
            </w:pPr>
            <w:r>
              <w:rPr>
                <w:rFonts w:hint="eastAsia" w:ascii="宋体" w:hAnsi="宋体"/>
                <w:szCs w:val="21"/>
              </w:rPr>
              <w:t>（4）具有履行合同所必需的设备和专业技术能力；</w:t>
            </w:r>
          </w:p>
          <w:p w14:paraId="1C474989">
            <w:pPr>
              <w:spacing w:line="400" w:lineRule="exac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）参加政府采购和招标活动前三年内，在经营活动中没有重大违法记录。</w:t>
            </w:r>
          </w:p>
        </w:tc>
        <w:tc>
          <w:tcPr>
            <w:tcW w:w="772" w:type="dxa"/>
            <w:tcBorders>
              <w:left w:val="single" w:color="auto" w:sz="4" w:space="0"/>
              <w:right w:val="single" w:color="auto" w:sz="4" w:space="0"/>
            </w:tcBorders>
            <w:vAlign w:val="center"/>
          </w:tcPr>
          <w:p w14:paraId="0E1538AD">
            <w:pPr>
              <w:spacing w:line="400" w:lineRule="exact"/>
              <w:rPr>
                <w:rFonts w:ascii="宋体" w:hAnsi="宋体"/>
                <w:szCs w:val="21"/>
              </w:rPr>
            </w:pPr>
          </w:p>
        </w:tc>
        <w:tc>
          <w:tcPr>
            <w:tcW w:w="861" w:type="dxa"/>
            <w:tcBorders>
              <w:left w:val="single" w:color="auto" w:sz="4" w:space="0"/>
            </w:tcBorders>
            <w:vAlign w:val="center"/>
          </w:tcPr>
          <w:p w14:paraId="6B8B0AFF">
            <w:pPr>
              <w:spacing w:line="400" w:lineRule="exact"/>
              <w:rPr>
                <w:rFonts w:ascii="宋体" w:hAnsi="宋体"/>
                <w:szCs w:val="21"/>
              </w:rPr>
            </w:pPr>
          </w:p>
        </w:tc>
      </w:tr>
      <w:tr w14:paraId="1D7E8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61" w:type="dxa"/>
            <w:tcBorders>
              <w:right w:val="single" w:color="auto" w:sz="4" w:space="0"/>
            </w:tcBorders>
            <w:vAlign w:val="center"/>
          </w:tcPr>
          <w:p w14:paraId="6D03D11B">
            <w:pPr>
              <w:spacing w:line="400" w:lineRule="exact"/>
              <w:jc w:val="center"/>
              <w:rPr>
                <w:rFonts w:hint="eastAsia" w:ascii="宋体" w:hAnsi="宋体" w:eastAsia="宋体"/>
                <w:b/>
                <w:szCs w:val="21"/>
                <w:lang w:eastAsia="zh-CN"/>
              </w:rPr>
            </w:pPr>
            <w:r>
              <w:rPr>
                <w:rFonts w:hint="eastAsia" w:ascii="宋体" w:hAnsi="宋体"/>
                <w:b/>
                <w:szCs w:val="21"/>
                <w:lang w:val="en-US" w:eastAsia="zh-CN"/>
              </w:rPr>
              <w:t>3</w:t>
            </w:r>
          </w:p>
        </w:tc>
        <w:tc>
          <w:tcPr>
            <w:tcW w:w="2280" w:type="dxa"/>
            <w:tcBorders>
              <w:left w:val="single" w:color="auto" w:sz="4" w:space="0"/>
            </w:tcBorders>
            <w:vAlign w:val="center"/>
          </w:tcPr>
          <w:p w14:paraId="58FF443C">
            <w:pPr>
              <w:spacing w:line="400" w:lineRule="exact"/>
              <w:jc w:val="center"/>
              <w:rPr>
                <w:rFonts w:hint="eastAsia" w:ascii="宋体" w:hAnsi="宋体"/>
                <w:b/>
                <w:szCs w:val="21"/>
              </w:rPr>
            </w:pPr>
            <w:r>
              <w:rPr>
                <w:rFonts w:hint="eastAsia" w:ascii="宋体" w:hAnsi="宋体"/>
                <w:b/>
                <w:szCs w:val="21"/>
              </w:rPr>
              <w:t>人员要求</w:t>
            </w:r>
          </w:p>
        </w:tc>
        <w:tc>
          <w:tcPr>
            <w:tcW w:w="4492" w:type="dxa"/>
            <w:tcBorders>
              <w:right w:val="single" w:color="auto" w:sz="4" w:space="0"/>
            </w:tcBorders>
            <w:vAlign w:val="center"/>
          </w:tcPr>
          <w:p w14:paraId="33ED2437">
            <w:pPr>
              <w:spacing w:line="400" w:lineRule="exact"/>
              <w:rPr>
                <w:rFonts w:hint="eastAsia" w:ascii="宋体" w:hAnsi="宋体" w:eastAsia="宋体"/>
                <w:szCs w:val="21"/>
                <w:lang w:eastAsia="zh-CN"/>
              </w:rPr>
            </w:pPr>
            <w:r>
              <w:rPr>
                <w:rFonts w:hint="eastAsia" w:ascii="宋体" w:hAnsi="宋体"/>
                <w:szCs w:val="21"/>
              </w:rPr>
              <w:t>供应商项目实施团队</w:t>
            </w:r>
            <w:r>
              <w:rPr>
                <w:rFonts w:hint="eastAsia" w:ascii="宋体" w:hAnsi="宋体"/>
                <w:szCs w:val="21"/>
                <w:lang w:eastAsia="zh-CN"/>
              </w:rPr>
              <w:t>有能较好完成该项目的</w:t>
            </w:r>
            <w:r>
              <w:rPr>
                <w:rFonts w:hint="eastAsia" w:ascii="宋体" w:hAnsi="宋体"/>
                <w:szCs w:val="21"/>
              </w:rPr>
              <w:t>人员配备</w:t>
            </w:r>
            <w:r>
              <w:rPr>
                <w:rFonts w:hint="eastAsia" w:ascii="宋体" w:hAnsi="宋体"/>
                <w:szCs w:val="21"/>
                <w:lang w:eastAsia="zh-CN"/>
              </w:rPr>
              <w:t>。</w:t>
            </w:r>
          </w:p>
        </w:tc>
        <w:tc>
          <w:tcPr>
            <w:tcW w:w="772" w:type="dxa"/>
            <w:tcBorders>
              <w:left w:val="single" w:color="auto" w:sz="4" w:space="0"/>
              <w:right w:val="single" w:color="auto" w:sz="4" w:space="0"/>
            </w:tcBorders>
            <w:vAlign w:val="center"/>
          </w:tcPr>
          <w:p w14:paraId="166C6675">
            <w:pPr>
              <w:spacing w:line="400" w:lineRule="exact"/>
              <w:rPr>
                <w:rFonts w:ascii="宋体" w:hAnsi="宋体"/>
                <w:szCs w:val="21"/>
              </w:rPr>
            </w:pPr>
          </w:p>
        </w:tc>
        <w:tc>
          <w:tcPr>
            <w:tcW w:w="861" w:type="dxa"/>
            <w:tcBorders>
              <w:left w:val="single" w:color="auto" w:sz="4" w:space="0"/>
            </w:tcBorders>
            <w:vAlign w:val="center"/>
          </w:tcPr>
          <w:p w14:paraId="187C5B09">
            <w:pPr>
              <w:spacing w:line="400" w:lineRule="exact"/>
              <w:rPr>
                <w:rFonts w:ascii="宋体" w:hAnsi="宋体"/>
                <w:szCs w:val="21"/>
              </w:rPr>
            </w:pPr>
          </w:p>
        </w:tc>
      </w:tr>
      <w:tr w14:paraId="0D904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14:paraId="0CBE08BD">
            <w:pPr>
              <w:spacing w:line="400" w:lineRule="exact"/>
              <w:jc w:val="center"/>
              <w:rPr>
                <w:rFonts w:hint="eastAsia" w:ascii="宋体" w:hAnsi="宋体" w:eastAsia="宋体"/>
                <w:b/>
                <w:szCs w:val="21"/>
                <w:lang w:eastAsia="zh-CN"/>
              </w:rPr>
            </w:pPr>
            <w:r>
              <w:rPr>
                <w:rFonts w:hint="eastAsia" w:ascii="宋体" w:hAnsi="宋体"/>
                <w:b/>
                <w:szCs w:val="21"/>
                <w:lang w:val="en-US" w:eastAsia="zh-CN"/>
              </w:rPr>
              <w:t>4</w:t>
            </w:r>
          </w:p>
        </w:tc>
        <w:tc>
          <w:tcPr>
            <w:tcW w:w="2280" w:type="dxa"/>
            <w:tcBorders>
              <w:left w:val="single" w:color="auto" w:sz="4" w:space="0"/>
            </w:tcBorders>
            <w:vAlign w:val="center"/>
          </w:tcPr>
          <w:p w14:paraId="4C4F9A7F">
            <w:pPr>
              <w:spacing w:line="400" w:lineRule="exact"/>
              <w:jc w:val="center"/>
              <w:rPr>
                <w:rFonts w:ascii="宋体" w:hAnsi="宋体"/>
                <w:b/>
                <w:szCs w:val="21"/>
              </w:rPr>
            </w:pPr>
            <w:r>
              <w:rPr>
                <w:rFonts w:hint="eastAsia" w:ascii="宋体" w:hAnsi="宋体"/>
                <w:b/>
                <w:szCs w:val="21"/>
              </w:rPr>
              <w:t>信用情况</w:t>
            </w:r>
          </w:p>
        </w:tc>
        <w:tc>
          <w:tcPr>
            <w:tcW w:w="4492" w:type="dxa"/>
            <w:tcBorders>
              <w:right w:val="single" w:color="auto" w:sz="4" w:space="0"/>
            </w:tcBorders>
            <w:vAlign w:val="center"/>
          </w:tcPr>
          <w:p w14:paraId="2CF9237F">
            <w:pPr>
              <w:spacing w:line="400" w:lineRule="exact"/>
              <w:rPr>
                <w:rFonts w:ascii="宋体" w:hAnsi="宋体"/>
                <w:szCs w:val="21"/>
              </w:rPr>
            </w:pPr>
            <w:r>
              <w:rPr>
                <w:rFonts w:hint="eastAsia" w:ascii="宋体" w:hAnsi="宋体"/>
                <w:szCs w:val="21"/>
              </w:rPr>
              <w:t>评审时未被“信用中国”、“中国政府采购网”网站列入“失信被执行人、税收违法黑名单、政府采购严重违法失信行为记录名单”。（截图）</w:t>
            </w:r>
          </w:p>
        </w:tc>
        <w:tc>
          <w:tcPr>
            <w:tcW w:w="772" w:type="dxa"/>
            <w:tcBorders>
              <w:left w:val="single" w:color="auto" w:sz="4" w:space="0"/>
              <w:right w:val="single" w:color="auto" w:sz="4" w:space="0"/>
            </w:tcBorders>
            <w:vAlign w:val="center"/>
          </w:tcPr>
          <w:p w14:paraId="46DD7E22">
            <w:pPr>
              <w:spacing w:line="400" w:lineRule="exact"/>
              <w:rPr>
                <w:rFonts w:ascii="宋体" w:hAnsi="宋体"/>
                <w:szCs w:val="21"/>
              </w:rPr>
            </w:pPr>
          </w:p>
        </w:tc>
        <w:tc>
          <w:tcPr>
            <w:tcW w:w="861" w:type="dxa"/>
            <w:tcBorders>
              <w:left w:val="single" w:color="auto" w:sz="4" w:space="0"/>
            </w:tcBorders>
            <w:vAlign w:val="center"/>
          </w:tcPr>
          <w:p w14:paraId="3B0C48A9">
            <w:pPr>
              <w:spacing w:line="400" w:lineRule="exact"/>
              <w:rPr>
                <w:rFonts w:ascii="宋体" w:hAnsi="宋体"/>
                <w:szCs w:val="21"/>
              </w:rPr>
            </w:pPr>
          </w:p>
        </w:tc>
      </w:tr>
    </w:tbl>
    <w:p w14:paraId="5A602F1C">
      <w:pPr>
        <w:spacing w:line="400" w:lineRule="exact"/>
        <w:jc w:val="left"/>
        <w:rPr>
          <w:rFonts w:ascii="宋体" w:hAnsi="宋体"/>
          <w:b/>
          <w:szCs w:val="21"/>
        </w:rPr>
      </w:pPr>
      <w:bookmarkStart w:id="41" w:name="_Hlk505804270"/>
      <w:r>
        <w:rPr>
          <w:rFonts w:hint="eastAsia" w:ascii="宋体" w:hAnsi="宋体"/>
          <w:b/>
          <w:szCs w:val="21"/>
        </w:rPr>
        <w:t>注：以上资格审查资料可直接附于比选申请文件中，评审过程中如发现一项不合格，资格审查不予通过。</w:t>
      </w:r>
    </w:p>
    <w:p w14:paraId="33760DC2">
      <w:pPr>
        <w:spacing w:line="360" w:lineRule="auto"/>
        <w:rPr>
          <w:rFonts w:ascii="宋体" w:hAnsi="宋体"/>
          <w:b/>
          <w:sz w:val="28"/>
          <w:szCs w:val="32"/>
        </w:rPr>
      </w:pPr>
    </w:p>
    <w:p w14:paraId="7D4EF08D">
      <w:pPr>
        <w:spacing w:line="360" w:lineRule="auto"/>
        <w:rPr>
          <w:rFonts w:ascii="宋体" w:hAnsi="宋体"/>
          <w:b/>
          <w:sz w:val="28"/>
          <w:szCs w:val="28"/>
        </w:rPr>
      </w:pPr>
      <w:r>
        <w:rPr>
          <w:rFonts w:hint="eastAsia" w:ascii="宋体" w:hAnsi="宋体"/>
          <w:b/>
          <w:sz w:val="28"/>
          <w:szCs w:val="32"/>
        </w:rPr>
        <w:br w:type="page"/>
      </w:r>
      <w:r>
        <w:rPr>
          <w:rFonts w:hint="eastAsia" w:ascii="宋体" w:hAnsi="宋体"/>
          <w:b/>
          <w:sz w:val="28"/>
          <w:szCs w:val="32"/>
        </w:rPr>
        <w:t>表2</w:t>
      </w:r>
      <w:r>
        <w:rPr>
          <w:rFonts w:ascii="宋体" w:hAnsi="宋体"/>
          <w:b/>
          <w:sz w:val="28"/>
          <w:szCs w:val="32"/>
        </w:rPr>
        <w:t xml:space="preserve"> </w:t>
      </w:r>
      <w:r>
        <w:rPr>
          <w:rFonts w:hint="eastAsia" w:ascii="宋体" w:hAnsi="宋体"/>
          <w:b/>
          <w:sz w:val="28"/>
          <w:szCs w:val="32"/>
        </w:rPr>
        <w:t>符合性评审标准</w:t>
      </w:r>
    </w:p>
    <w:tbl>
      <w:tblPr>
        <w:tblStyle w:val="6"/>
        <w:tblW w:w="97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428"/>
        <w:gridCol w:w="5855"/>
        <w:gridCol w:w="781"/>
        <w:gridCol w:w="936"/>
      </w:tblGrid>
      <w:tr w14:paraId="4AEC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restart"/>
            <w:tcBorders>
              <w:right w:val="single" w:color="auto" w:sz="4" w:space="0"/>
            </w:tcBorders>
            <w:vAlign w:val="center"/>
          </w:tcPr>
          <w:p w14:paraId="62DCAF83">
            <w:pPr>
              <w:spacing w:line="400" w:lineRule="exact"/>
              <w:jc w:val="center"/>
              <w:rPr>
                <w:rFonts w:ascii="宋体" w:hAnsi="宋体"/>
                <w:bCs/>
                <w:szCs w:val="21"/>
              </w:rPr>
            </w:pPr>
            <w:r>
              <w:rPr>
                <w:rFonts w:ascii="宋体" w:hAnsi="宋体"/>
                <w:bCs/>
                <w:szCs w:val="21"/>
              </w:rPr>
              <w:t>序号</w:t>
            </w:r>
          </w:p>
        </w:tc>
        <w:tc>
          <w:tcPr>
            <w:tcW w:w="1428" w:type="dxa"/>
            <w:vMerge w:val="restart"/>
            <w:tcBorders>
              <w:left w:val="single" w:color="auto" w:sz="4" w:space="0"/>
            </w:tcBorders>
            <w:vAlign w:val="center"/>
          </w:tcPr>
          <w:p w14:paraId="606FADD5">
            <w:pPr>
              <w:spacing w:line="400" w:lineRule="exact"/>
              <w:jc w:val="center"/>
              <w:rPr>
                <w:rFonts w:ascii="宋体" w:hAnsi="宋体"/>
                <w:bCs/>
                <w:szCs w:val="21"/>
              </w:rPr>
            </w:pPr>
            <w:r>
              <w:rPr>
                <w:rFonts w:ascii="宋体" w:hAnsi="宋体"/>
                <w:bCs/>
                <w:szCs w:val="21"/>
              </w:rPr>
              <w:t>评审内容</w:t>
            </w:r>
          </w:p>
        </w:tc>
        <w:tc>
          <w:tcPr>
            <w:tcW w:w="5855" w:type="dxa"/>
            <w:vMerge w:val="restart"/>
            <w:tcBorders>
              <w:right w:val="single" w:color="auto" w:sz="4" w:space="0"/>
            </w:tcBorders>
            <w:vAlign w:val="center"/>
          </w:tcPr>
          <w:p w14:paraId="2B465230">
            <w:pPr>
              <w:spacing w:line="400" w:lineRule="exact"/>
              <w:jc w:val="center"/>
              <w:rPr>
                <w:rFonts w:ascii="宋体" w:hAnsi="宋体"/>
                <w:bCs/>
                <w:szCs w:val="21"/>
              </w:rPr>
            </w:pPr>
            <w:r>
              <w:rPr>
                <w:rFonts w:ascii="宋体" w:hAnsi="宋体"/>
                <w:bCs/>
                <w:szCs w:val="21"/>
              </w:rPr>
              <w:t>审查条件</w:t>
            </w:r>
          </w:p>
        </w:tc>
        <w:tc>
          <w:tcPr>
            <w:tcW w:w="1717" w:type="dxa"/>
            <w:gridSpan w:val="2"/>
            <w:tcBorders>
              <w:left w:val="single" w:color="auto" w:sz="4" w:space="0"/>
              <w:bottom w:val="single" w:color="auto" w:sz="4" w:space="0"/>
            </w:tcBorders>
            <w:vAlign w:val="center"/>
          </w:tcPr>
          <w:p w14:paraId="5BA53224">
            <w:pPr>
              <w:spacing w:line="400" w:lineRule="exact"/>
              <w:jc w:val="center"/>
              <w:rPr>
                <w:rFonts w:ascii="宋体" w:hAnsi="宋体"/>
                <w:bCs/>
                <w:szCs w:val="21"/>
              </w:rPr>
            </w:pPr>
            <w:r>
              <w:rPr>
                <w:rFonts w:ascii="宋体" w:hAnsi="宋体"/>
                <w:bCs/>
                <w:szCs w:val="21"/>
              </w:rPr>
              <w:t>审查结果</w:t>
            </w:r>
          </w:p>
        </w:tc>
      </w:tr>
      <w:tr w14:paraId="16F74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continue"/>
            <w:tcBorders>
              <w:right w:val="single" w:color="auto" w:sz="4" w:space="0"/>
            </w:tcBorders>
            <w:vAlign w:val="center"/>
          </w:tcPr>
          <w:p w14:paraId="0070AB6F">
            <w:pPr>
              <w:spacing w:line="400" w:lineRule="exact"/>
              <w:jc w:val="center"/>
              <w:rPr>
                <w:rFonts w:ascii="宋体" w:hAnsi="宋体"/>
                <w:bCs/>
                <w:szCs w:val="21"/>
              </w:rPr>
            </w:pPr>
          </w:p>
        </w:tc>
        <w:tc>
          <w:tcPr>
            <w:tcW w:w="1428" w:type="dxa"/>
            <w:vMerge w:val="continue"/>
            <w:tcBorders>
              <w:left w:val="single" w:color="auto" w:sz="4" w:space="0"/>
            </w:tcBorders>
            <w:vAlign w:val="center"/>
          </w:tcPr>
          <w:p w14:paraId="31B59CE8">
            <w:pPr>
              <w:spacing w:line="400" w:lineRule="exact"/>
              <w:jc w:val="center"/>
              <w:rPr>
                <w:rFonts w:ascii="宋体" w:hAnsi="宋体"/>
                <w:bCs/>
                <w:szCs w:val="21"/>
              </w:rPr>
            </w:pPr>
          </w:p>
        </w:tc>
        <w:tc>
          <w:tcPr>
            <w:tcW w:w="5855" w:type="dxa"/>
            <w:vMerge w:val="continue"/>
            <w:tcBorders>
              <w:right w:val="single" w:color="auto" w:sz="4" w:space="0"/>
            </w:tcBorders>
            <w:vAlign w:val="center"/>
          </w:tcPr>
          <w:p w14:paraId="14D3236B">
            <w:pPr>
              <w:spacing w:line="400" w:lineRule="exact"/>
              <w:jc w:val="center"/>
              <w:rPr>
                <w:rFonts w:ascii="宋体" w:hAnsi="宋体"/>
                <w:bCs/>
                <w:szCs w:val="21"/>
              </w:rPr>
            </w:pPr>
          </w:p>
        </w:tc>
        <w:tc>
          <w:tcPr>
            <w:tcW w:w="781" w:type="dxa"/>
            <w:tcBorders>
              <w:top w:val="single" w:color="auto" w:sz="4" w:space="0"/>
              <w:left w:val="single" w:color="auto" w:sz="4" w:space="0"/>
              <w:right w:val="single" w:color="auto" w:sz="4" w:space="0"/>
            </w:tcBorders>
            <w:vAlign w:val="center"/>
          </w:tcPr>
          <w:p w14:paraId="1F3E73D6">
            <w:pPr>
              <w:spacing w:line="400" w:lineRule="exact"/>
              <w:jc w:val="center"/>
              <w:rPr>
                <w:rFonts w:ascii="宋体" w:hAnsi="宋体"/>
                <w:bCs/>
                <w:szCs w:val="21"/>
              </w:rPr>
            </w:pPr>
            <w:r>
              <w:rPr>
                <w:rFonts w:ascii="宋体" w:hAnsi="宋体"/>
                <w:bCs/>
                <w:szCs w:val="21"/>
              </w:rPr>
              <w:t>合格</w:t>
            </w:r>
          </w:p>
        </w:tc>
        <w:tc>
          <w:tcPr>
            <w:tcW w:w="936" w:type="dxa"/>
            <w:tcBorders>
              <w:top w:val="single" w:color="auto" w:sz="4" w:space="0"/>
              <w:left w:val="single" w:color="auto" w:sz="4" w:space="0"/>
            </w:tcBorders>
            <w:vAlign w:val="center"/>
          </w:tcPr>
          <w:p w14:paraId="472D53D9">
            <w:pPr>
              <w:spacing w:line="400" w:lineRule="exact"/>
              <w:jc w:val="center"/>
              <w:rPr>
                <w:rFonts w:ascii="宋体" w:hAnsi="宋体"/>
                <w:bCs/>
                <w:szCs w:val="21"/>
              </w:rPr>
            </w:pPr>
            <w:r>
              <w:rPr>
                <w:rFonts w:ascii="宋体" w:hAnsi="宋体"/>
                <w:bCs/>
                <w:szCs w:val="21"/>
              </w:rPr>
              <w:t>不合格</w:t>
            </w:r>
          </w:p>
        </w:tc>
      </w:tr>
      <w:tr w14:paraId="761CB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420A4A85">
            <w:pPr>
              <w:spacing w:line="400" w:lineRule="exact"/>
              <w:jc w:val="center"/>
              <w:rPr>
                <w:rFonts w:ascii="宋体" w:hAnsi="宋体"/>
                <w:bCs/>
                <w:szCs w:val="21"/>
              </w:rPr>
            </w:pPr>
            <w:r>
              <w:rPr>
                <w:rFonts w:ascii="宋体" w:hAnsi="宋体"/>
                <w:bCs/>
                <w:szCs w:val="21"/>
              </w:rPr>
              <w:t>1</w:t>
            </w:r>
          </w:p>
        </w:tc>
        <w:tc>
          <w:tcPr>
            <w:tcW w:w="1428" w:type="dxa"/>
            <w:tcBorders>
              <w:left w:val="single" w:color="auto" w:sz="4" w:space="0"/>
            </w:tcBorders>
            <w:vAlign w:val="center"/>
          </w:tcPr>
          <w:p w14:paraId="777FB2D0">
            <w:pPr>
              <w:spacing w:line="400" w:lineRule="exact"/>
              <w:jc w:val="center"/>
              <w:rPr>
                <w:rFonts w:ascii="宋体" w:hAnsi="宋体"/>
                <w:bCs/>
                <w:szCs w:val="21"/>
              </w:rPr>
            </w:pPr>
            <w:r>
              <w:rPr>
                <w:rFonts w:hint="eastAsia" w:ascii="宋体" w:hAnsi="宋体"/>
                <w:bCs/>
                <w:szCs w:val="21"/>
              </w:rPr>
              <w:t>签字、盖章</w:t>
            </w:r>
          </w:p>
        </w:tc>
        <w:tc>
          <w:tcPr>
            <w:tcW w:w="5855" w:type="dxa"/>
            <w:tcBorders>
              <w:right w:val="single" w:color="auto" w:sz="4" w:space="0"/>
            </w:tcBorders>
            <w:vAlign w:val="center"/>
          </w:tcPr>
          <w:p w14:paraId="0EEEF2CE">
            <w:pPr>
              <w:spacing w:line="400" w:lineRule="exact"/>
              <w:rPr>
                <w:rFonts w:ascii="宋体" w:hAnsi="宋体"/>
                <w:bCs/>
                <w:szCs w:val="21"/>
              </w:rPr>
            </w:pPr>
            <w:r>
              <w:rPr>
                <w:rFonts w:hint="eastAsia" w:ascii="宋体" w:hAnsi="宋体" w:cs="宋体"/>
                <w:bCs/>
                <w:szCs w:val="21"/>
              </w:rPr>
              <w:t>比选</w:t>
            </w:r>
            <w:r>
              <w:rPr>
                <w:rFonts w:hint="eastAsia" w:ascii="宋体" w:hAnsi="宋体" w:cs="宋体"/>
                <w:bCs/>
                <w:szCs w:val="21"/>
                <w:lang w:eastAsia="zh-CN"/>
              </w:rPr>
              <w:t>响应</w:t>
            </w:r>
            <w:r>
              <w:rPr>
                <w:rFonts w:hint="eastAsia" w:ascii="宋体" w:hAnsi="宋体" w:cs="宋体"/>
                <w:bCs/>
                <w:szCs w:val="21"/>
              </w:rPr>
              <w:t>文件签字盖章符合 “比选</w:t>
            </w:r>
            <w:r>
              <w:rPr>
                <w:rFonts w:hint="eastAsia" w:ascii="宋体" w:hAnsi="宋体" w:cs="宋体"/>
                <w:bCs/>
                <w:szCs w:val="21"/>
                <w:lang w:eastAsia="zh-CN"/>
              </w:rPr>
              <w:t>响应</w:t>
            </w:r>
            <w:r>
              <w:rPr>
                <w:rFonts w:hint="eastAsia" w:ascii="宋体" w:hAnsi="宋体" w:cs="宋体"/>
                <w:bCs/>
                <w:szCs w:val="21"/>
              </w:rPr>
              <w:t>文件格式”要求。（见附件</w:t>
            </w:r>
            <w:r>
              <w:rPr>
                <w:rFonts w:hint="eastAsia" w:ascii="宋体" w:hAnsi="宋体" w:cs="宋体"/>
                <w:bCs/>
                <w:szCs w:val="21"/>
                <w:lang w:val="en-US" w:eastAsia="zh-CN"/>
              </w:rPr>
              <w:t>2</w:t>
            </w:r>
            <w:r>
              <w:rPr>
                <w:rFonts w:hint="eastAsia" w:ascii="宋体" w:hAnsi="宋体" w:cs="宋体"/>
                <w:bCs/>
                <w:szCs w:val="21"/>
              </w:rPr>
              <w:t>）</w:t>
            </w:r>
          </w:p>
        </w:tc>
        <w:tc>
          <w:tcPr>
            <w:tcW w:w="781" w:type="dxa"/>
            <w:tcBorders>
              <w:left w:val="single" w:color="auto" w:sz="4" w:space="0"/>
              <w:right w:val="single" w:color="auto" w:sz="4" w:space="0"/>
            </w:tcBorders>
            <w:vAlign w:val="center"/>
          </w:tcPr>
          <w:p w14:paraId="5EC82919">
            <w:pPr>
              <w:spacing w:line="400" w:lineRule="exact"/>
              <w:rPr>
                <w:rFonts w:ascii="宋体" w:hAnsi="宋体"/>
                <w:bCs/>
                <w:szCs w:val="21"/>
              </w:rPr>
            </w:pPr>
          </w:p>
        </w:tc>
        <w:tc>
          <w:tcPr>
            <w:tcW w:w="936" w:type="dxa"/>
            <w:tcBorders>
              <w:left w:val="single" w:color="auto" w:sz="4" w:space="0"/>
            </w:tcBorders>
            <w:vAlign w:val="center"/>
          </w:tcPr>
          <w:p w14:paraId="64E54281">
            <w:pPr>
              <w:spacing w:line="400" w:lineRule="exact"/>
              <w:rPr>
                <w:rFonts w:ascii="宋体" w:hAnsi="宋体"/>
                <w:bCs/>
                <w:szCs w:val="21"/>
              </w:rPr>
            </w:pPr>
          </w:p>
        </w:tc>
      </w:tr>
      <w:tr w14:paraId="6EAED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778F7166">
            <w:pPr>
              <w:spacing w:line="400" w:lineRule="exact"/>
              <w:jc w:val="center"/>
              <w:rPr>
                <w:rFonts w:ascii="宋体" w:hAnsi="宋体"/>
                <w:bCs/>
                <w:szCs w:val="21"/>
              </w:rPr>
            </w:pPr>
            <w:r>
              <w:rPr>
                <w:rFonts w:hint="eastAsia" w:ascii="宋体" w:hAnsi="宋体"/>
                <w:bCs/>
                <w:szCs w:val="21"/>
              </w:rPr>
              <w:t>2</w:t>
            </w:r>
          </w:p>
        </w:tc>
        <w:tc>
          <w:tcPr>
            <w:tcW w:w="1428" w:type="dxa"/>
            <w:tcBorders>
              <w:left w:val="single" w:color="auto" w:sz="4" w:space="0"/>
            </w:tcBorders>
            <w:vAlign w:val="center"/>
          </w:tcPr>
          <w:p w14:paraId="5A7319D1">
            <w:pPr>
              <w:spacing w:line="400" w:lineRule="exact"/>
              <w:jc w:val="center"/>
              <w:rPr>
                <w:rFonts w:ascii="宋体" w:hAnsi="宋体"/>
                <w:bCs/>
                <w:szCs w:val="21"/>
              </w:rPr>
            </w:pPr>
            <w:r>
              <w:rPr>
                <w:rFonts w:hint="eastAsia" w:ascii="宋体" w:hAnsi="宋体"/>
                <w:bCs/>
                <w:szCs w:val="21"/>
              </w:rPr>
              <w:t>比选（响应）有效期</w:t>
            </w:r>
          </w:p>
        </w:tc>
        <w:tc>
          <w:tcPr>
            <w:tcW w:w="5855" w:type="dxa"/>
            <w:tcBorders>
              <w:right w:val="single" w:color="auto" w:sz="4" w:space="0"/>
            </w:tcBorders>
            <w:vAlign w:val="center"/>
          </w:tcPr>
          <w:p w14:paraId="36D5F929">
            <w:pPr>
              <w:spacing w:line="400" w:lineRule="exact"/>
              <w:rPr>
                <w:rFonts w:ascii="宋体" w:hAnsi="宋体" w:cs="宋体"/>
                <w:bCs/>
                <w:szCs w:val="21"/>
              </w:rPr>
            </w:pPr>
            <w:r>
              <w:rPr>
                <w:rFonts w:hint="eastAsia" w:ascii="宋体" w:hAnsi="宋体" w:cs="宋体"/>
                <w:bCs/>
                <w:szCs w:val="21"/>
              </w:rPr>
              <w:t>比选（响应）有效期符合比选文件要求。</w:t>
            </w:r>
          </w:p>
        </w:tc>
        <w:tc>
          <w:tcPr>
            <w:tcW w:w="781" w:type="dxa"/>
            <w:tcBorders>
              <w:left w:val="single" w:color="auto" w:sz="4" w:space="0"/>
              <w:right w:val="single" w:color="auto" w:sz="4" w:space="0"/>
            </w:tcBorders>
            <w:vAlign w:val="center"/>
          </w:tcPr>
          <w:p w14:paraId="7497149D">
            <w:pPr>
              <w:spacing w:line="400" w:lineRule="exact"/>
              <w:rPr>
                <w:rFonts w:ascii="宋体" w:hAnsi="宋体"/>
                <w:bCs/>
                <w:szCs w:val="21"/>
              </w:rPr>
            </w:pPr>
          </w:p>
        </w:tc>
        <w:tc>
          <w:tcPr>
            <w:tcW w:w="936" w:type="dxa"/>
            <w:tcBorders>
              <w:left w:val="single" w:color="auto" w:sz="4" w:space="0"/>
            </w:tcBorders>
            <w:vAlign w:val="center"/>
          </w:tcPr>
          <w:p w14:paraId="785EC0E4">
            <w:pPr>
              <w:spacing w:line="400" w:lineRule="exact"/>
              <w:rPr>
                <w:rFonts w:ascii="宋体" w:hAnsi="宋体"/>
                <w:bCs/>
                <w:szCs w:val="21"/>
              </w:rPr>
            </w:pPr>
          </w:p>
        </w:tc>
      </w:tr>
      <w:tr w14:paraId="428AC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7D605B00">
            <w:pPr>
              <w:spacing w:line="400" w:lineRule="exact"/>
              <w:jc w:val="center"/>
              <w:rPr>
                <w:rFonts w:ascii="宋体" w:hAnsi="宋体"/>
                <w:bCs/>
                <w:szCs w:val="21"/>
              </w:rPr>
            </w:pPr>
            <w:r>
              <w:rPr>
                <w:rFonts w:hint="eastAsia" w:ascii="宋体" w:hAnsi="宋体"/>
                <w:bCs/>
                <w:szCs w:val="21"/>
              </w:rPr>
              <w:t>3</w:t>
            </w:r>
          </w:p>
        </w:tc>
        <w:tc>
          <w:tcPr>
            <w:tcW w:w="1428" w:type="dxa"/>
            <w:tcBorders>
              <w:left w:val="single" w:color="auto" w:sz="4" w:space="0"/>
            </w:tcBorders>
            <w:vAlign w:val="center"/>
          </w:tcPr>
          <w:p w14:paraId="7B3646B3">
            <w:pPr>
              <w:spacing w:line="400" w:lineRule="exact"/>
              <w:jc w:val="center"/>
              <w:rPr>
                <w:rFonts w:ascii="宋体" w:hAnsi="宋体"/>
                <w:bCs/>
                <w:szCs w:val="21"/>
              </w:rPr>
            </w:pPr>
            <w:r>
              <w:rPr>
                <w:rFonts w:hint="eastAsia" w:ascii="宋体" w:hAnsi="宋体"/>
                <w:bCs/>
                <w:szCs w:val="21"/>
              </w:rPr>
              <w:t>比选报价</w:t>
            </w:r>
          </w:p>
        </w:tc>
        <w:tc>
          <w:tcPr>
            <w:tcW w:w="5855" w:type="dxa"/>
            <w:tcBorders>
              <w:right w:val="single" w:color="auto" w:sz="4" w:space="0"/>
            </w:tcBorders>
            <w:vAlign w:val="center"/>
          </w:tcPr>
          <w:p w14:paraId="7F405436">
            <w:pPr>
              <w:spacing w:line="400" w:lineRule="exact"/>
              <w:rPr>
                <w:rFonts w:ascii="宋体" w:hAnsi="宋体" w:cs="宋体"/>
                <w:bCs/>
                <w:szCs w:val="21"/>
              </w:rPr>
            </w:pPr>
            <w:r>
              <w:rPr>
                <w:rFonts w:hint="eastAsia" w:ascii="宋体" w:hAnsi="宋体" w:cs="宋体"/>
                <w:bCs/>
                <w:szCs w:val="21"/>
              </w:rPr>
              <w:t>供应商总报价未超过本项目采购预算及最高限价，且未以明显低于成本价的价格恶意参与响应。</w:t>
            </w:r>
          </w:p>
        </w:tc>
        <w:tc>
          <w:tcPr>
            <w:tcW w:w="781" w:type="dxa"/>
            <w:tcBorders>
              <w:left w:val="single" w:color="auto" w:sz="4" w:space="0"/>
              <w:right w:val="single" w:color="auto" w:sz="4" w:space="0"/>
            </w:tcBorders>
            <w:vAlign w:val="center"/>
          </w:tcPr>
          <w:p w14:paraId="43F9FD28">
            <w:pPr>
              <w:spacing w:line="400" w:lineRule="exact"/>
              <w:rPr>
                <w:rFonts w:ascii="宋体" w:hAnsi="宋体"/>
                <w:bCs/>
                <w:szCs w:val="21"/>
              </w:rPr>
            </w:pPr>
          </w:p>
        </w:tc>
        <w:tc>
          <w:tcPr>
            <w:tcW w:w="936" w:type="dxa"/>
            <w:tcBorders>
              <w:left w:val="single" w:color="auto" w:sz="4" w:space="0"/>
            </w:tcBorders>
            <w:vAlign w:val="center"/>
          </w:tcPr>
          <w:p w14:paraId="251DCD15">
            <w:pPr>
              <w:spacing w:line="400" w:lineRule="exact"/>
              <w:rPr>
                <w:rFonts w:ascii="宋体" w:hAnsi="宋体"/>
                <w:bCs/>
                <w:szCs w:val="21"/>
              </w:rPr>
            </w:pPr>
          </w:p>
        </w:tc>
      </w:tr>
      <w:tr w14:paraId="40FBF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7A5A859D">
            <w:pPr>
              <w:spacing w:line="400" w:lineRule="exact"/>
              <w:jc w:val="center"/>
              <w:rPr>
                <w:rFonts w:ascii="宋体" w:hAnsi="宋体"/>
                <w:bCs/>
                <w:szCs w:val="21"/>
              </w:rPr>
            </w:pPr>
            <w:r>
              <w:rPr>
                <w:rFonts w:hint="eastAsia" w:ascii="宋体" w:hAnsi="宋体"/>
                <w:bCs/>
                <w:szCs w:val="21"/>
              </w:rPr>
              <w:t>4</w:t>
            </w:r>
          </w:p>
        </w:tc>
        <w:tc>
          <w:tcPr>
            <w:tcW w:w="1428" w:type="dxa"/>
            <w:tcBorders>
              <w:left w:val="single" w:color="auto" w:sz="4" w:space="0"/>
            </w:tcBorders>
            <w:vAlign w:val="center"/>
          </w:tcPr>
          <w:p w14:paraId="43B1E66D">
            <w:pPr>
              <w:spacing w:line="400" w:lineRule="exact"/>
              <w:jc w:val="center"/>
              <w:rPr>
                <w:rFonts w:ascii="宋体" w:hAnsi="宋体"/>
                <w:bCs/>
                <w:szCs w:val="21"/>
              </w:rPr>
            </w:pPr>
            <w:r>
              <w:rPr>
                <w:rFonts w:hint="eastAsia" w:ascii="宋体" w:hAnsi="宋体"/>
                <w:bCs/>
                <w:szCs w:val="21"/>
              </w:rPr>
              <w:t>商务条款</w:t>
            </w:r>
          </w:p>
        </w:tc>
        <w:tc>
          <w:tcPr>
            <w:tcW w:w="5855" w:type="dxa"/>
            <w:tcBorders>
              <w:right w:val="single" w:color="auto" w:sz="4" w:space="0"/>
            </w:tcBorders>
            <w:vAlign w:val="center"/>
          </w:tcPr>
          <w:p w14:paraId="41FBFBDE">
            <w:pPr>
              <w:spacing w:line="400" w:lineRule="exact"/>
              <w:rPr>
                <w:rFonts w:ascii="宋体" w:hAnsi="宋体"/>
                <w:bCs/>
                <w:szCs w:val="21"/>
              </w:rPr>
            </w:pPr>
            <w:r>
              <w:rPr>
                <w:rFonts w:hint="eastAsia" w:ascii="宋体" w:hAnsi="宋体"/>
                <w:bCs/>
                <w:szCs w:val="21"/>
              </w:rPr>
              <w:t>符合比选文件中商务</w:t>
            </w:r>
            <w:r>
              <w:rPr>
                <w:rFonts w:ascii="宋体" w:hAnsi="宋体"/>
                <w:bCs/>
                <w:szCs w:val="21"/>
              </w:rPr>
              <w:t>条款</w:t>
            </w:r>
            <w:r>
              <w:rPr>
                <w:rFonts w:hint="eastAsia" w:ascii="宋体" w:hAnsi="宋体"/>
                <w:bCs/>
                <w:szCs w:val="21"/>
              </w:rPr>
              <w:t>的实质性要求（商务偏离表无负偏离的）。</w:t>
            </w:r>
          </w:p>
        </w:tc>
        <w:tc>
          <w:tcPr>
            <w:tcW w:w="781" w:type="dxa"/>
            <w:tcBorders>
              <w:left w:val="single" w:color="auto" w:sz="4" w:space="0"/>
              <w:right w:val="single" w:color="auto" w:sz="4" w:space="0"/>
            </w:tcBorders>
            <w:vAlign w:val="center"/>
          </w:tcPr>
          <w:p w14:paraId="72B6B27D">
            <w:pPr>
              <w:spacing w:line="400" w:lineRule="exact"/>
              <w:rPr>
                <w:rFonts w:ascii="宋体" w:hAnsi="宋体"/>
                <w:bCs/>
                <w:szCs w:val="21"/>
              </w:rPr>
            </w:pPr>
          </w:p>
        </w:tc>
        <w:tc>
          <w:tcPr>
            <w:tcW w:w="936" w:type="dxa"/>
            <w:tcBorders>
              <w:left w:val="single" w:color="auto" w:sz="4" w:space="0"/>
            </w:tcBorders>
            <w:vAlign w:val="center"/>
          </w:tcPr>
          <w:p w14:paraId="0BD2926B">
            <w:pPr>
              <w:spacing w:line="400" w:lineRule="exact"/>
              <w:rPr>
                <w:rFonts w:ascii="宋体" w:hAnsi="宋体"/>
                <w:bCs/>
                <w:szCs w:val="21"/>
              </w:rPr>
            </w:pPr>
          </w:p>
        </w:tc>
      </w:tr>
      <w:tr w14:paraId="482F7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42C6EB5D">
            <w:pPr>
              <w:spacing w:line="400" w:lineRule="exact"/>
              <w:jc w:val="center"/>
              <w:rPr>
                <w:rFonts w:ascii="宋体" w:hAnsi="宋体"/>
                <w:bCs/>
                <w:szCs w:val="21"/>
              </w:rPr>
            </w:pPr>
            <w:r>
              <w:rPr>
                <w:rFonts w:ascii="宋体" w:hAnsi="宋体"/>
                <w:bCs/>
                <w:szCs w:val="21"/>
              </w:rPr>
              <w:t>5</w:t>
            </w:r>
          </w:p>
        </w:tc>
        <w:tc>
          <w:tcPr>
            <w:tcW w:w="1428" w:type="dxa"/>
            <w:tcBorders>
              <w:left w:val="single" w:color="auto" w:sz="4" w:space="0"/>
            </w:tcBorders>
            <w:vAlign w:val="center"/>
          </w:tcPr>
          <w:p w14:paraId="696225A4">
            <w:pPr>
              <w:spacing w:line="400" w:lineRule="exact"/>
              <w:jc w:val="center"/>
              <w:rPr>
                <w:rFonts w:ascii="宋体" w:hAnsi="宋体"/>
                <w:bCs/>
                <w:szCs w:val="21"/>
              </w:rPr>
            </w:pPr>
            <w:r>
              <w:rPr>
                <w:rFonts w:hint="eastAsia" w:ascii="宋体" w:hAnsi="宋体"/>
                <w:bCs/>
                <w:szCs w:val="21"/>
              </w:rPr>
              <w:t>技术条款</w:t>
            </w:r>
          </w:p>
        </w:tc>
        <w:tc>
          <w:tcPr>
            <w:tcW w:w="5855" w:type="dxa"/>
            <w:tcBorders>
              <w:right w:val="single" w:color="auto" w:sz="4" w:space="0"/>
            </w:tcBorders>
            <w:vAlign w:val="center"/>
          </w:tcPr>
          <w:p w14:paraId="3B5374DE">
            <w:pPr>
              <w:spacing w:line="400" w:lineRule="exact"/>
              <w:rPr>
                <w:rFonts w:ascii="宋体" w:hAnsi="宋体"/>
                <w:bCs/>
                <w:szCs w:val="21"/>
              </w:rPr>
            </w:pPr>
            <w:r>
              <w:rPr>
                <w:rFonts w:hint="eastAsia" w:ascii="宋体" w:hAnsi="宋体"/>
                <w:bCs/>
                <w:szCs w:val="21"/>
              </w:rPr>
              <w:t>符合比选文件中技术条款要求。</w:t>
            </w:r>
          </w:p>
        </w:tc>
        <w:tc>
          <w:tcPr>
            <w:tcW w:w="781" w:type="dxa"/>
            <w:tcBorders>
              <w:left w:val="single" w:color="auto" w:sz="4" w:space="0"/>
              <w:right w:val="single" w:color="auto" w:sz="4" w:space="0"/>
            </w:tcBorders>
            <w:vAlign w:val="center"/>
          </w:tcPr>
          <w:p w14:paraId="60CADDFC">
            <w:pPr>
              <w:spacing w:line="400" w:lineRule="exact"/>
              <w:rPr>
                <w:rFonts w:ascii="宋体" w:hAnsi="宋体"/>
                <w:bCs/>
                <w:szCs w:val="21"/>
              </w:rPr>
            </w:pPr>
          </w:p>
        </w:tc>
        <w:tc>
          <w:tcPr>
            <w:tcW w:w="936" w:type="dxa"/>
            <w:tcBorders>
              <w:left w:val="single" w:color="auto" w:sz="4" w:space="0"/>
            </w:tcBorders>
            <w:vAlign w:val="center"/>
          </w:tcPr>
          <w:p w14:paraId="3AB47C0F">
            <w:pPr>
              <w:spacing w:line="400" w:lineRule="exact"/>
              <w:rPr>
                <w:rFonts w:ascii="宋体" w:hAnsi="宋体"/>
                <w:bCs/>
                <w:szCs w:val="21"/>
              </w:rPr>
            </w:pPr>
          </w:p>
        </w:tc>
      </w:tr>
      <w:tr w14:paraId="0B6C3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64596F0D">
            <w:pPr>
              <w:spacing w:line="400" w:lineRule="exact"/>
              <w:ind w:firstLine="21" w:firstLineChars="10"/>
              <w:jc w:val="center"/>
              <w:rPr>
                <w:rFonts w:ascii="宋体" w:hAnsi="宋体"/>
                <w:bCs/>
                <w:szCs w:val="21"/>
              </w:rPr>
            </w:pPr>
            <w:r>
              <w:rPr>
                <w:rFonts w:ascii="宋体" w:hAnsi="宋体"/>
                <w:bCs/>
                <w:szCs w:val="21"/>
              </w:rPr>
              <w:t>6</w:t>
            </w:r>
          </w:p>
        </w:tc>
        <w:tc>
          <w:tcPr>
            <w:tcW w:w="1428" w:type="dxa"/>
            <w:tcBorders>
              <w:left w:val="single" w:color="auto" w:sz="4" w:space="0"/>
            </w:tcBorders>
            <w:vAlign w:val="center"/>
          </w:tcPr>
          <w:p w14:paraId="5EE86F8A">
            <w:pPr>
              <w:spacing w:line="400" w:lineRule="exact"/>
              <w:jc w:val="center"/>
              <w:rPr>
                <w:rFonts w:ascii="宋体" w:hAnsi="宋体"/>
                <w:bCs/>
                <w:szCs w:val="21"/>
              </w:rPr>
            </w:pPr>
            <w:r>
              <w:rPr>
                <w:rFonts w:hint="eastAsia" w:ascii="宋体" w:hAnsi="宋体"/>
                <w:bCs/>
                <w:szCs w:val="21"/>
              </w:rPr>
              <w:t>其它</w:t>
            </w:r>
          </w:p>
        </w:tc>
        <w:tc>
          <w:tcPr>
            <w:tcW w:w="5855" w:type="dxa"/>
            <w:tcBorders>
              <w:left w:val="single" w:color="auto" w:sz="4" w:space="0"/>
              <w:right w:val="single" w:color="auto" w:sz="4" w:space="0"/>
            </w:tcBorders>
            <w:vAlign w:val="center"/>
          </w:tcPr>
          <w:p w14:paraId="76A44537">
            <w:pPr>
              <w:spacing w:line="400" w:lineRule="exact"/>
              <w:rPr>
                <w:rFonts w:ascii="宋体" w:hAnsi="宋体"/>
                <w:bCs/>
                <w:szCs w:val="21"/>
              </w:rPr>
            </w:pPr>
            <w:r>
              <w:rPr>
                <w:rFonts w:hint="eastAsia" w:ascii="宋体" w:hAnsi="宋体"/>
                <w:bCs/>
                <w:szCs w:val="21"/>
              </w:rPr>
              <w:t>申请文件未含有比选人不能接受的附加条件且未存在比选文件规定的其他无效情形。</w:t>
            </w:r>
          </w:p>
        </w:tc>
        <w:tc>
          <w:tcPr>
            <w:tcW w:w="781" w:type="dxa"/>
            <w:tcBorders>
              <w:left w:val="single" w:color="auto" w:sz="4" w:space="0"/>
              <w:right w:val="single" w:color="auto" w:sz="4" w:space="0"/>
            </w:tcBorders>
            <w:vAlign w:val="center"/>
          </w:tcPr>
          <w:p w14:paraId="35425C11">
            <w:pPr>
              <w:spacing w:line="400" w:lineRule="exact"/>
              <w:rPr>
                <w:rFonts w:ascii="宋体" w:hAnsi="宋体"/>
                <w:bCs/>
                <w:szCs w:val="21"/>
              </w:rPr>
            </w:pPr>
          </w:p>
        </w:tc>
        <w:tc>
          <w:tcPr>
            <w:tcW w:w="936" w:type="dxa"/>
            <w:tcBorders>
              <w:left w:val="single" w:color="auto" w:sz="4" w:space="0"/>
            </w:tcBorders>
            <w:vAlign w:val="center"/>
          </w:tcPr>
          <w:p w14:paraId="055B2ED5">
            <w:pPr>
              <w:spacing w:line="400" w:lineRule="exact"/>
              <w:rPr>
                <w:rFonts w:ascii="宋体" w:hAnsi="宋体"/>
                <w:bCs/>
                <w:szCs w:val="21"/>
              </w:rPr>
            </w:pPr>
          </w:p>
        </w:tc>
      </w:tr>
    </w:tbl>
    <w:p w14:paraId="33E39CFF">
      <w:pPr>
        <w:spacing w:line="400" w:lineRule="exact"/>
        <w:jc w:val="left"/>
        <w:rPr>
          <w:rFonts w:ascii="宋体" w:hAnsi="宋体"/>
          <w:b/>
          <w:szCs w:val="21"/>
        </w:rPr>
      </w:pPr>
      <w:r>
        <w:rPr>
          <w:rFonts w:hint="eastAsia" w:ascii="宋体" w:hAnsi="宋体"/>
          <w:b/>
          <w:szCs w:val="21"/>
        </w:rPr>
        <w:t>注：评审过程中如发现一项不合格，符合性评审不予通过。</w:t>
      </w:r>
    </w:p>
    <w:bookmarkEnd w:id="41"/>
    <w:p w14:paraId="40B2C70E">
      <w:pPr>
        <w:spacing w:line="400" w:lineRule="exact"/>
        <w:jc w:val="left"/>
        <w:rPr>
          <w:rFonts w:ascii="宋体" w:hAnsi="宋体"/>
          <w:b/>
          <w:bCs/>
          <w:sz w:val="24"/>
        </w:rPr>
      </w:pPr>
      <w:r>
        <w:rPr>
          <w:rFonts w:ascii="宋体" w:hAnsi="宋体"/>
          <w:b/>
          <w:sz w:val="28"/>
          <w:szCs w:val="32"/>
        </w:rPr>
        <w:br w:type="page"/>
      </w:r>
      <w:r>
        <w:rPr>
          <w:rFonts w:hint="eastAsia" w:ascii="宋体" w:hAnsi="宋体"/>
          <w:b/>
          <w:sz w:val="28"/>
          <w:szCs w:val="32"/>
        </w:rPr>
        <w:t>表3</w:t>
      </w:r>
      <w:r>
        <w:rPr>
          <w:rFonts w:ascii="宋体" w:hAnsi="宋体"/>
          <w:b/>
          <w:sz w:val="28"/>
          <w:szCs w:val="32"/>
        </w:rPr>
        <w:t xml:space="preserve"> 评分表及说明</w:t>
      </w:r>
    </w:p>
    <w:tbl>
      <w:tblPr>
        <w:tblStyle w:val="6"/>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6"/>
        <w:gridCol w:w="732"/>
        <w:gridCol w:w="6758"/>
      </w:tblGrid>
      <w:tr w14:paraId="0E65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06A60643">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序号</w:t>
            </w:r>
          </w:p>
        </w:tc>
        <w:tc>
          <w:tcPr>
            <w:tcW w:w="1296" w:type="dxa"/>
            <w:vAlign w:val="center"/>
          </w:tcPr>
          <w:p w14:paraId="78D46F40">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评分内容</w:t>
            </w:r>
          </w:p>
        </w:tc>
        <w:tc>
          <w:tcPr>
            <w:tcW w:w="732" w:type="dxa"/>
            <w:vAlign w:val="center"/>
          </w:tcPr>
          <w:p w14:paraId="3C051365">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分值</w:t>
            </w:r>
          </w:p>
        </w:tc>
        <w:tc>
          <w:tcPr>
            <w:tcW w:w="6758" w:type="dxa"/>
            <w:vAlign w:val="center"/>
          </w:tcPr>
          <w:p w14:paraId="40F8EB99">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评分说明和标准</w:t>
            </w:r>
          </w:p>
        </w:tc>
      </w:tr>
      <w:tr w14:paraId="1DF1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14:paraId="0A7AFB94">
            <w:pPr>
              <w:widowControl/>
              <w:wordWrap w:val="0"/>
              <w:jc w:val="center"/>
              <w:rPr>
                <w:rFonts w:ascii="宋体" w:hAnsi="宋体"/>
                <w:szCs w:val="21"/>
              </w:rPr>
            </w:pPr>
            <w:r>
              <w:rPr>
                <w:rFonts w:hint="eastAsia" w:ascii="宋体" w:hAnsi="宋体"/>
                <w:szCs w:val="21"/>
              </w:rPr>
              <w:t>1</w:t>
            </w:r>
          </w:p>
        </w:tc>
        <w:tc>
          <w:tcPr>
            <w:tcW w:w="1296" w:type="dxa"/>
            <w:vAlign w:val="center"/>
          </w:tcPr>
          <w:p w14:paraId="763C274C">
            <w:pPr>
              <w:widowControl/>
              <w:wordWrap w:val="0"/>
              <w:jc w:val="center"/>
              <w:rPr>
                <w:rFonts w:ascii="宋体" w:hAnsi="宋体"/>
                <w:szCs w:val="21"/>
              </w:rPr>
            </w:pPr>
            <w:r>
              <w:rPr>
                <w:rFonts w:hint="eastAsia" w:ascii="宋体" w:hAnsi="宋体"/>
                <w:szCs w:val="21"/>
              </w:rPr>
              <w:t>报价得分</w:t>
            </w:r>
          </w:p>
        </w:tc>
        <w:tc>
          <w:tcPr>
            <w:tcW w:w="732" w:type="dxa"/>
            <w:vAlign w:val="center"/>
          </w:tcPr>
          <w:p w14:paraId="70FBA7EB">
            <w:pPr>
              <w:widowControl/>
              <w:wordWrap w:val="0"/>
              <w:jc w:val="center"/>
              <w:rPr>
                <w:rFonts w:ascii="宋体" w:hAnsi="宋体"/>
                <w:szCs w:val="21"/>
              </w:rPr>
            </w:pPr>
            <w:r>
              <w:rPr>
                <w:rFonts w:ascii="宋体" w:hAnsi="宋体"/>
                <w:szCs w:val="21"/>
              </w:rPr>
              <w:t>15</w:t>
            </w:r>
          </w:p>
        </w:tc>
        <w:tc>
          <w:tcPr>
            <w:tcW w:w="6758" w:type="dxa"/>
            <w:vAlign w:val="center"/>
          </w:tcPr>
          <w:p w14:paraId="2F189502">
            <w:pPr>
              <w:widowControl/>
              <w:wordWrap w:val="0"/>
              <w:jc w:val="left"/>
              <w:rPr>
                <w:rFonts w:ascii="宋体" w:hAnsi="宋体"/>
                <w:szCs w:val="21"/>
              </w:rPr>
            </w:pPr>
            <w:r>
              <w:rPr>
                <w:rFonts w:hint="eastAsia" w:ascii="宋体" w:hAnsi="宋体"/>
                <w:szCs w:val="21"/>
              </w:rPr>
              <w:t>1.基准值：供应商最终有效报价的最低值。</w:t>
            </w:r>
          </w:p>
          <w:p w14:paraId="18F87AB4">
            <w:pPr>
              <w:widowControl/>
              <w:wordWrap w:val="0"/>
              <w:jc w:val="left"/>
              <w:rPr>
                <w:rFonts w:ascii="宋体" w:hAnsi="宋体"/>
                <w:szCs w:val="21"/>
              </w:rPr>
            </w:pPr>
            <w:r>
              <w:rPr>
                <w:rFonts w:hint="eastAsia" w:ascii="宋体" w:hAnsi="宋体"/>
                <w:szCs w:val="21"/>
              </w:rPr>
              <w:t>2.计算得分：有效报价等于基准值得标准分</w:t>
            </w:r>
            <w:r>
              <w:rPr>
                <w:rFonts w:ascii="宋体" w:hAnsi="宋体"/>
                <w:szCs w:val="21"/>
              </w:rPr>
              <w:t>15</w:t>
            </w:r>
            <w:r>
              <w:rPr>
                <w:rFonts w:hint="eastAsia" w:ascii="宋体" w:hAnsi="宋体"/>
                <w:szCs w:val="21"/>
              </w:rPr>
              <w:t>分；报价得分=基准值/供应商报价*</w:t>
            </w:r>
            <w:r>
              <w:rPr>
                <w:rFonts w:ascii="宋体" w:hAnsi="宋体"/>
                <w:szCs w:val="21"/>
              </w:rPr>
              <w:t>15</w:t>
            </w:r>
            <w:r>
              <w:rPr>
                <w:rFonts w:hint="eastAsia" w:ascii="宋体" w:hAnsi="宋体"/>
                <w:szCs w:val="21"/>
              </w:rPr>
              <w:t>。（报价得分保留两位小数，小数点后第三位四舍五入）</w:t>
            </w:r>
          </w:p>
          <w:p w14:paraId="23DDBAE4">
            <w:pPr>
              <w:widowControl/>
              <w:wordWrap w:val="0"/>
              <w:rPr>
                <w:rFonts w:ascii="宋体" w:hAnsi="宋体"/>
                <w:szCs w:val="21"/>
              </w:rPr>
            </w:pPr>
            <w:r>
              <w:rPr>
                <w:rFonts w:hint="eastAsia" w:ascii="宋体" w:hAnsi="宋体"/>
                <w:szCs w:val="21"/>
              </w:rPr>
              <w:t>3.有效报价：通过初步评审并经算术修正的报价为有效报价。</w:t>
            </w:r>
          </w:p>
          <w:p w14:paraId="7EE301DE">
            <w:pPr>
              <w:widowControl/>
              <w:wordWrap w:val="0"/>
              <w:rPr>
                <w:rFonts w:ascii="Times New Roman" w:hAnsi="Times New Roman"/>
              </w:rPr>
            </w:pPr>
            <w:r>
              <w:rPr>
                <w:rFonts w:hint="eastAsia" w:ascii="宋体" w:hAnsi="宋体"/>
                <w:szCs w:val="21"/>
              </w:rPr>
              <w:t>注：评审委员会认为供应商的报价明显低于其他通过符合性审查供应商的报价，有可能影响设备及服务质量或者不能诚信履约的，应当要求其在评审合理的时间内提供书面说明，必要时提交相关证明材料；供应商不能证明其报价合理性的，评审委员会应当将其作为无效申请处理。</w:t>
            </w:r>
          </w:p>
        </w:tc>
      </w:tr>
      <w:tr w14:paraId="7637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14:paraId="479071F9">
            <w:pPr>
              <w:widowControl/>
              <w:wordWrap w:val="0"/>
              <w:jc w:val="center"/>
              <w:rPr>
                <w:rFonts w:ascii="宋体" w:hAnsi="宋体"/>
                <w:szCs w:val="21"/>
              </w:rPr>
            </w:pPr>
            <w:r>
              <w:rPr>
                <w:rFonts w:hint="eastAsia" w:ascii="宋体" w:hAnsi="宋体"/>
                <w:szCs w:val="21"/>
              </w:rPr>
              <w:t>2</w:t>
            </w:r>
          </w:p>
        </w:tc>
        <w:tc>
          <w:tcPr>
            <w:tcW w:w="1296" w:type="dxa"/>
            <w:vAlign w:val="center"/>
          </w:tcPr>
          <w:p w14:paraId="6CC39323">
            <w:pPr>
              <w:widowControl/>
              <w:wordWrap w:val="0"/>
              <w:jc w:val="center"/>
              <w:rPr>
                <w:rFonts w:ascii="等线" w:hAnsi="等线" w:eastAsia="等线" w:cs="等线"/>
                <w:kern w:val="0"/>
                <w:szCs w:val="21"/>
              </w:rPr>
            </w:pPr>
            <w:r>
              <w:rPr>
                <w:rFonts w:ascii="宋体" w:hAnsi="宋体"/>
                <w:szCs w:val="21"/>
              </w:rPr>
              <w:t>项目理解和思</w:t>
            </w:r>
            <w:r>
              <w:rPr>
                <w:rFonts w:hint="eastAsia" w:ascii="宋体" w:hAnsi="宋体"/>
                <w:szCs w:val="21"/>
              </w:rPr>
              <w:t>路</w:t>
            </w:r>
          </w:p>
        </w:tc>
        <w:tc>
          <w:tcPr>
            <w:tcW w:w="732" w:type="dxa"/>
            <w:vAlign w:val="center"/>
          </w:tcPr>
          <w:p w14:paraId="7964CF5A">
            <w:pPr>
              <w:widowControl/>
              <w:wordWrap w:val="0"/>
              <w:jc w:val="center"/>
              <w:rPr>
                <w:rFonts w:ascii="等线" w:hAnsi="等线" w:eastAsia="等线" w:cs="等线"/>
                <w:kern w:val="0"/>
                <w:szCs w:val="21"/>
              </w:rPr>
            </w:pPr>
            <w:r>
              <w:rPr>
                <w:rFonts w:ascii="宋体" w:hAnsi="宋体" w:eastAsia="等线"/>
                <w:szCs w:val="21"/>
              </w:rPr>
              <w:t>15</w:t>
            </w:r>
          </w:p>
        </w:tc>
        <w:tc>
          <w:tcPr>
            <w:tcW w:w="6758" w:type="dxa"/>
            <w:vAlign w:val="center"/>
          </w:tcPr>
          <w:p w14:paraId="65F06803">
            <w:pPr>
              <w:widowControl/>
              <w:wordWrap w:val="0"/>
              <w:rPr>
                <w:rFonts w:ascii="宋体" w:hAnsi="宋体"/>
                <w:szCs w:val="21"/>
              </w:rPr>
            </w:pPr>
            <w:r>
              <w:rPr>
                <w:rFonts w:hint="eastAsia" w:ascii="宋体" w:hAnsi="宋体"/>
                <w:szCs w:val="21"/>
              </w:rPr>
              <w:t>根据供应商</w:t>
            </w:r>
            <w:r>
              <w:rPr>
                <w:rFonts w:ascii="宋体" w:hAnsi="宋体"/>
                <w:szCs w:val="21"/>
              </w:rPr>
              <w:t>对本次服务需求的理解情况及策划实施思</w:t>
            </w:r>
            <w:r>
              <w:rPr>
                <w:rFonts w:hint="eastAsia" w:ascii="宋体" w:hAnsi="宋体"/>
                <w:szCs w:val="21"/>
              </w:rPr>
              <w:t>路，重难点分析情况进行综合评价：</w:t>
            </w:r>
          </w:p>
          <w:p w14:paraId="0F7F6D5C">
            <w:pPr>
              <w:widowControl/>
              <w:wordWrap w:val="0"/>
              <w:rPr>
                <w:rFonts w:ascii="宋体" w:hAnsi="宋体"/>
                <w:szCs w:val="21"/>
              </w:rPr>
            </w:pPr>
            <w:r>
              <w:rPr>
                <w:rFonts w:hint="eastAsia" w:ascii="宋体" w:hAnsi="宋体"/>
                <w:szCs w:val="21"/>
              </w:rPr>
              <w:t>（1）对本项目详细分析、理解透彻，重点、难点判断准确、 描述清楚，思路清晰、可行性高，得</w:t>
            </w:r>
            <w:r>
              <w:rPr>
                <w:rFonts w:ascii="宋体" w:hAnsi="宋体"/>
                <w:szCs w:val="21"/>
              </w:rPr>
              <w:t>15</w:t>
            </w:r>
            <w:r>
              <w:rPr>
                <w:rFonts w:hint="eastAsia" w:ascii="宋体" w:hAnsi="宋体"/>
                <w:szCs w:val="21"/>
              </w:rPr>
              <w:t>分；</w:t>
            </w:r>
          </w:p>
          <w:p w14:paraId="6203978E">
            <w:pPr>
              <w:widowControl/>
              <w:wordWrap w:val="0"/>
              <w:rPr>
                <w:rFonts w:ascii="宋体" w:hAnsi="宋体"/>
                <w:szCs w:val="21"/>
              </w:rPr>
            </w:pPr>
            <w:r>
              <w:rPr>
                <w:rFonts w:hint="eastAsia" w:ascii="宋体" w:hAnsi="宋体"/>
                <w:szCs w:val="21"/>
              </w:rPr>
              <w:t>（2）对本项目进行分析，重点、难点有一定理解和阐述，思路较为完整，得</w:t>
            </w:r>
            <w:r>
              <w:rPr>
                <w:rFonts w:ascii="宋体" w:hAnsi="宋体"/>
                <w:szCs w:val="21"/>
              </w:rPr>
              <w:t>12</w:t>
            </w:r>
            <w:r>
              <w:rPr>
                <w:rFonts w:hint="eastAsia" w:ascii="宋体" w:hAnsi="宋体"/>
                <w:szCs w:val="21"/>
              </w:rPr>
              <w:t>分；</w:t>
            </w:r>
          </w:p>
          <w:p w14:paraId="58A86660">
            <w:pPr>
              <w:widowControl/>
              <w:wordWrap w:val="0"/>
              <w:rPr>
                <w:rFonts w:ascii="宋体" w:hAnsi="宋体"/>
                <w:szCs w:val="21"/>
              </w:rPr>
            </w:pPr>
            <w:r>
              <w:rPr>
                <w:rFonts w:hint="eastAsia" w:ascii="宋体" w:hAnsi="宋体"/>
                <w:szCs w:val="21"/>
              </w:rPr>
              <w:t>（3）对本项目具备初步分析、理解，思路可行性可靠性较一般，得</w:t>
            </w:r>
            <w:r>
              <w:rPr>
                <w:rFonts w:ascii="宋体" w:hAnsi="宋体"/>
                <w:szCs w:val="21"/>
              </w:rPr>
              <w:t>9</w:t>
            </w:r>
            <w:r>
              <w:rPr>
                <w:rFonts w:hint="eastAsia" w:ascii="宋体" w:hAnsi="宋体"/>
                <w:szCs w:val="21"/>
              </w:rPr>
              <w:t>分；</w:t>
            </w:r>
          </w:p>
          <w:p w14:paraId="281CE01D">
            <w:pPr>
              <w:widowControl/>
              <w:wordWrap w:val="0"/>
              <w:rPr>
                <w:rFonts w:ascii="等线" w:hAnsi="等线" w:eastAsia="等线" w:cs="等线"/>
                <w:kern w:val="0"/>
                <w:szCs w:val="21"/>
              </w:rPr>
            </w:pPr>
            <w:r>
              <w:rPr>
                <w:rFonts w:hint="eastAsia" w:ascii="宋体" w:hAnsi="宋体"/>
                <w:szCs w:val="21"/>
              </w:rPr>
              <w:t>缺项，得0分。</w:t>
            </w:r>
          </w:p>
        </w:tc>
      </w:tr>
      <w:tr w14:paraId="26B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6FDA9DE2">
            <w:pPr>
              <w:widowControl/>
              <w:wordWrap w:val="0"/>
              <w:jc w:val="center"/>
              <w:rPr>
                <w:rFonts w:ascii="宋体" w:hAnsi="宋体"/>
                <w:szCs w:val="21"/>
              </w:rPr>
            </w:pPr>
            <w:r>
              <w:rPr>
                <w:rFonts w:hint="eastAsia" w:ascii="宋体" w:hAnsi="宋体"/>
                <w:szCs w:val="21"/>
              </w:rPr>
              <w:t>3</w:t>
            </w:r>
          </w:p>
        </w:tc>
        <w:tc>
          <w:tcPr>
            <w:tcW w:w="1296" w:type="dxa"/>
            <w:vAlign w:val="center"/>
          </w:tcPr>
          <w:p w14:paraId="443033AF">
            <w:pPr>
              <w:widowControl/>
              <w:spacing w:line="300" w:lineRule="exact"/>
              <w:jc w:val="center"/>
              <w:rPr>
                <w:rFonts w:ascii="宋体" w:hAnsi="宋体"/>
                <w:szCs w:val="21"/>
              </w:rPr>
            </w:pPr>
            <w:r>
              <w:rPr>
                <w:rFonts w:hint="eastAsia" w:ascii="宋体" w:hAnsi="宋体"/>
                <w:szCs w:val="21"/>
              </w:rPr>
              <w:t>整体服务</w:t>
            </w:r>
            <w:r>
              <w:rPr>
                <w:rFonts w:hint="eastAsia" w:ascii="宋体" w:hAnsi="宋体"/>
                <w:szCs w:val="21"/>
                <w:lang w:eastAsia="zh-CN"/>
              </w:rPr>
              <w:t>实施</w:t>
            </w:r>
            <w:r>
              <w:rPr>
                <w:rFonts w:hint="eastAsia" w:ascii="宋体" w:hAnsi="宋体"/>
                <w:szCs w:val="21"/>
              </w:rPr>
              <w:t>方案评价</w:t>
            </w:r>
          </w:p>
        </w:tc>
        <w:tc>
          <w:tcPr>
            <w:tcW w:w="732" w:type="dxa"/>
            <w:vAlign w:val="center"/>
          </w:tcPr>
          <w:p w14:paraId="3E617E2B">
            <w:pPr>
              <w:widowControl/>
              <w:spacing w:line="300" w:lineRule="exact"/>
              <w:jc w:val="center"/>
              <w:rPr>
                <w:rFonts w:hint="eastAsia" w:ascii="宋体" w:hAnsi="宋体" w:eastAsia="宋体"/>
                <w:szCs w:val="21"/>
                <w:lang w:val="en-US" w:eastAsia="zh-CN"/>
              </w:rPr>
            </w:pPr>
            <w:r>
              <w:rPr>
                <w:rFonts w:ascii="宋体" w:hAnsi="宋体"/>
                <w:szCs w:val="21"/>
              </w:rPr>
              <w:t>3</w:t>
            </w:r>
            <w:r>
              <w:rPr>
                <w:rFonts w:hint="eastAsia" w:ascii="宋体" w:hAnsi="宋体"/>
                <w:szCs w:val="21"/>
                <w:lang w:val="en-US" w:eastAsia="zh-CN"/>
              </w:rPr>
              <w:t>0</w:t>
            </w:r>
          </w:p>
        </w:tc>
        <w:tc>
          <w:tcPr>
            <w:tcW w:w="6758" w:type="dxa"/>
            <w:vAlign w:val="center"/>
          </w:tcPr>
          <w:p w14:paraId="0708B06F">
            <w:pPr>
              <w:widowControl/>
              <w:spacing w:line="300" w:lineRule="exact"/>
              <w:rPr>
                <w:rFonts w:ascii="Times New Roman" w:hAnsi="Times New Roman"/>
              </w:rPr>
            </w:pPr>
            <w:r>
              <w:rPr>
                <w:rFonts w:hint="eastAsia" w:ascii="Times New Roman" w:hAnsi="Times New Roman"/>
              </w:rPr>
              <w:t>根据供应商整体服务实施方案进行综合比较打分：</w:t>
            </w:r>
          </w:p>
          <w:p w14:paraId="0205C8D8">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对本项目针对性强，技术方案先进、合理、完整，思路清晰，有完整、准确表达出项目内容。能完全满足招标人要求，得</w:t>
            </w:r>
            <w:r>
              <w:rPr>
                <w:rFonts w:hint="eastAsia" w:ascii="宋体" w:hAnsi="宋体"/>
                <w:szCs w:val="21"/>
                <w:lang w:val="en-US" w:eastAsia="zh-CN"/>
              </w:rPr>
              <w:t>30分。</w:t>
            </w:r>
          </w:p>
          <w:p w14:paraId="3B5CF4BB">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对本项目针对性较强，技术方案先进、合理，有完整、准确表达出项目内容，基本满足招标人要求，得</w:t>
            </w:r>
            <w:r>
              <w:rPr>
                <w:rFonts w:hint="eastAsia" w:ascii="宋体" w:hAnsi="宋体"/>
                <w:szCs w:val="21"/>
                <w:lang w:val="en-US" w:eastAsia="zh-CN"/>
              </w:rPr>
              <w:t>21分。</w:t>
            </w:r>
          </w:p>
          <w:p w14:paraId="2FCE5947">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对本项目针对性较弱，技术方案基本合理、基本符合相关标准和规范，但在满足招标人要求方面欠缺，思路欠清晰</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12</w:t>
            </w:r>
            <w:r>
              <w:rPr>
                <w:rFonts w:hint="eastAsia" w:ascii="宋体" w:hAnsi="宋体"/>
                <w:szCs w:val="21"/>
              </w:rPr>
              <w:t>分。</w:t>
            </w:r>
          </w:p>
          <w:p w14:paraId="05C18F4D">
            <w:pPr>
              <w:widowControl/>
              <w:wordWrap w:val="0"/>
              <w:rPr>
                <w:rFonts w:ascii="Times New Roman" w:hAnsi="Times New Roman"/>
              </w:rPr>
            </w:pPr>
            <w:r>
              <w:rPr>
                <w:rFonts w:hint="eastAsia" w:ascii="宋体" w:hAnsi="宋体"/>
                <w:szCs w:val="21"/>
              </w:rPr>
              <w:t>缺项，得0分。</w:t>
            </w:r>
          </w:p>
        </w:tc>
      </w:tr>
      <w:tr w14:paraId="3F4A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633C3B15">
            <w:pPr>
              <w:widowControl/>
              <w:wordWrap w:val="0"/>
              <w:jc w:val="center"/>
              <w:rPr>
                <w:rFonts w:ascii="宋体" w:hAnsi="宋体"/>
                <w:szCs w:val="21"/>
              </w:rPr>
            </w:pPr>
            <w:r>
              <w:rPr>
                <w:rFonts w:hint="eastAsia" w:ascii="宋体" w:hAnsi="宋体"/>
                <w:szCs w:val="21"/>
              </w:rPr>
              <w:t>4</w:t>
            </w:r>
          </w:p>
        </w:tc>
        <w:tc>
          <w:tcPr>
            <w:tcW w:w="1296" w:type="dxa"/>
            <w:vAlign w:val="center"/>
          </w:tcPr>
          <w:p w14:paraId="43013363">
            <w:pPr>
              <w:widowControl/>
              <w:spacing w:line="300" w:lineRule="exact"/>
              <w:jc w:val="center"/>
              <w:rPr>
                <w:rFonts w:ascii="宋体" w:hAnsi="宋体"/>
                <w:szCs w:val="21"/>
              </w:rPr>
            </w:pPr>
            <w:r>
              <w:rPr>
                <w:rFonts w:hint="eastAsia" w:ascii="宋体" w:hAnsi="宋体"/>
                <w:szCs w:val="21"/>
              </w:rPr>
              <w:t>组织结构及项目团队</w:t>
            </w:r>
          </w:p>
        </w:tc>
        <w:tc>
          <w:tcPr>
            <w:tcW w:w="732" w:type="dxa"/>
            <w:vAlign w:val="center"/>
          </w:tcPr>
          <w:p w14:paraId="61180653">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6758" w:type="dxa"/>
            <w:vAlign w:val="center"/>
          </w:tcPr>
          <w:p w14:paraId="5705E790">
            <w:pPr>
              <w:widowControl/>
              <w:spacing w:line="300" w:lineRule="exact"/>
              <w:rPr>
                <w:rFonts w:ascii="宋体" w:hAnsi="宋体"/>
                <w:szCs w:val="21"/>
              </w:rPr>
            </w:pPr>
            <w:r>
              <w:rPr>
                <w:rFonts w:hint="eastAsia" w:ascii="宋体" w:hAnsi="宋体"/>
                <w:szCs w:val="21"/>
              </w:rPr>
              <w:t>根据供应商项目实施团队的组织结构和人员配备情况进行综合打分：</w:t>
            </w:r>
          </w:p>
          <w:p w14:paraId="16AD6225">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具备专业</w:t>
            </w:r>
            <w:r>
              <w:rPr>
                <w:rFonts w:hint="eastAsia" w:ascii="宋体" w:hAnsi="宋体"/>
                <w:szCs w:val="21"/>
                <w:lang w:val="en-US" w:eastAsia="zh-CN"/>
              </w:rPr>
              <w:t>活动策划、宣传人员</w:t>
            </w:r>
            <w:r>
              <w:rPr>
                <w:rFonts w:hint="eastAsia" w:ascii="宋体" w:hAnsi="宋体"/>
                <w:szCs w:val="21"/>
              </w:rPr>
              <w:t>等，团队人员专业能力强，得15分；</w:t>
            </w:r>
          </w:p>
          <w:p w14:paraId="6AEE9F18">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具备常规</w:t>
            </w:r>
            <w:r>
              <w:rPr>
                <w:rFonts w:hint="eastAsia" w:ascii="宋体" w:hAnsi="宋体"/>
                <w:szCs w:val="21"/>
                <w:lang w:val="en-US" w:eastAsia="zh-CN"/>
              </w:rPr>
              <w:t>活动策划、宣传人员</w:t>
            </w:r>
            <w:r>
              <w:rPr>
                <w:rFonts w:hint="eastAsia" w:ascii="宋体" w:hAnsi="宋体"/>
                <w:szCs w:val="21"/>
              </w:rPr>
              <w:t>等</w:t>
            </w:r>
            <w:r>
              <w:rPr>
                <w:rFonts w:hint="eastAsia" w:ascii="宋体" w:hAnsi="宋体"/>
                <w:szCs w:val="21"/>
                <w:lang w:eastAsia="zh-CN"/>
              </w:rPr>
              <w:t>，</w:t>
            </w:r>
            <w:r>
              <w:rPr>
                <w:rFonts w:hint="eastAsia" w:ascii="宋体" w:hAnsi="宋体"/>
                <w:szCs w:val="21"/>
              </w:rPr>
              <w:t>团队人员专业能力较强，能够满足</w:t>
            </w:r>
            <w:r>
              <w:rPr>
                <w:rFonts w:hint="eastAsia" w:ascii="宋体" w:hAnsi="宋体"/>
                <w:szCs w:val="21"/>
                <w:lang w:val="en-US" w:eastAsia="zh-CN"/>
              </w:rPr>
              <w:t>长城法规宣传</w:t>
            </w:r>
            <w:r>
              <w:rPr>
                <w:rFonts w:hint="eastAsia" w:ascii="宋体" w:hAnsi="宋体"/>
                <w:szCs w:val="21"/>
              </w:rPr>
              <w:t>的相关要求，得1</w:t>
            </w:r>
            <w:r>
              <w:rPr>
                <w:rFonts w:hint="eastAsia" w:ascii="宋体" w:hAnsi="宋体"/>
                <w:szCs w:val="21"/>
                <w:lang w:val="en-US" w:eastAsia="zh-CN"/>
              </w:rPr>
              <w:t>2</w:t>
            </w:r>
            <w:r>
              <w:rPr>
                <w:rFonts w:hint="eastAsia" w:ascii="宋体" w:hAnsi="宋体"/>
                <w:szCs w:val="21"/>
              </w:rPr>
              <w:t>分；</w:t>
            </w:r>
          </w:p>
          <w:p w14:paraId="1415E61E">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具备活动策划、宣传人员等，人员配置基本能够满足各项参数要求，得</w:t>
            </w:r>
            <w:r>
              <w:rPr>
                <w:rFonts w:hint="eastAsia" w:ascii="宋体" w:hAnsi="宋体"/>
                <w:szCs w:val="21"/>
                <w:lang w:val="en-US" w:eastAsia="zh-CN"/>
              </w:rPr>
              <w:t>9</w:t>
            </w:r>
            <w:r>
              <w:rPr>
                <w:rFonts w:hint="eastAsia" w:ascii="宋体" w:hAnsi="宋体"/>
                <w:szCs w:val="21"/>
              </w:rPr>
              <w:t>分。</w:t>
            </w:r>
          </w:p>
          <w:p w14:paraId="00F33B3F">
            <w:pPr>
              <w:widowControl/>
              <w:spacing w:line="300" w:lineRule="exact"/>
              <w:rPr>
                <w:rFonts w:ascii="宋体" w:hAnsi="宋体"/>
                <w:szCs w:val="21"/>
              </w:rPr>
            </w:pPr>
            <w:r>
              <w:rPr>
                <w:rFonts w:hint="eastAsia" w:ascii="宋体" w:hAnsi="宋体"/>
                <w:szCs w:val="21"/>
              </w:rPr>
              <w:t>缺项，得0分。</w:t>
            </w:r>
          </w:p>
        </w:tc>
      </w:tr>
      <w:tr w14:paraId="11CE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2" w:type="dxa"/>
            <w:vAlign w:val="center"/>
          </w:tcPr>
          <w:p w14:paraId="7AB907D1">
            <w:pPr>
              <w:widowControl/>
              <w:wordWrap w:val="0"/>
              <w:jc w:val="center"/>
              <w:rPr>
                <w:rFonts w:hint="default" w:ascii="宋体" w:hAnsi="宋体"/>
                <w:szCs w:val="21"/>
                <w:lang w:val="en-US" w:eastAsia="zh-CN"/>
              </w:rPr>
            </w:pPr>
            <w:r>
              <w:rPr>
                <w:rFonts w:hint="eastAsia" w:ascii="宋体" w:hAnsi="宋体"/>
                <w:szCs w:val="21"/>
                <w:lang w:val="en-US" w:eastAsia="zh-CN"/>
              </w:rPr>
              <w:t>5</w:t>
            </w:r>
          </w:p>
        </w:tc>
        <w:tc>
          <w:tcPr>
            <w:tcW w:w="1296" w:type="dxa"/>
            <w:vAlign w:val="center"/>
          </w:tcPr>
          <w:p w14:paraId="05AC8A81">
            <w:pPr>
              <w:widowControl/>
              <w:spacing w:line="300" w:lineRule="exact"/>
              <w:jc w:val="center"/>
              <w:rPr>
                <w:rFonts w:hint="eastAsia" w:ascii="宋体" w:hAnsi="宋体" w:eastAsia="宋体"/>
                <w:szCs w:val="21"/>
                <w:lang w:eastAsia="zh-CN"/>
              </w:rPr>
            </w:pPr>
            <w:r>
              <w:rPr>
                <w:rFonts w:hint="eastAsia" w:ascii="宋体" w:hAnsi="宋体"/>
                <w:szCs w:val="21"/>
                <w:lang w:eastAsia="zh-CN"/>
              </w:rPr>
              <w:t>相似业绩</w:t>
            </w:r>
          </w:p>
        </w:tc>
        <w:tc>
          <w:tcPr>
            <w:tcW w:w="732" w:type="dxa"/>
            <w:vAlign w:val="center"/>
          </w:tcPr>
          <w:p w14:paraId="406F614A">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6758" w:type="dxa"/>
            <w:vAlign w:val="center"/>
          </w:tcPr>
          <w:p w14:paraId="065F6CAE">
            <w:pPr>
              <w:widowControl/>
              <w:spacing w:line="300" w:lineRule="exact"/>
              <w:rPr>
                <w:rFonts w:hint="eastAsia" w:ascii="Times New Roman" w:hAnsi="Times New Roman"/>
              </w:rPr>
            </w:pPr>
            <w:r>
              <w:rPr>
                <w:rFonts w:hint="eastAsia" w:ascii="Times New Roman" w:hAnsi="Times New Roman"/>
              </w:rPr>
              <w:t>近两年内，每</w:t>
            </w:r>
            <w:r>
              <w:rPr>
                <w:rFonts w:hint="eastAsia" w:ascii="Times New Roman" w:hAnsi="Times New Roman"/>
                <w:lang w:val="en-US" w:eastAsia="zh-CN"/>
              </w:rPr>
              <w:t>开展</w:t>
            </w:r>
            <w:r>
              <w:rPr>
                <w:rFonts w:hint="eastAsia" w:ascii="Times New Roman" w:hAnsi="Times New Roman"/>
              </w:rPr>
              <w:t>1项与长城相关的专题活动，得5分，此项最高得10分。</w:t>
            </w:r>
          </w:p>
          <w:p w14:paraId="2E87E7A6">
            <w:pPr>
              <w:widowControl/>
              <w:spacing w:line="300" w:lineRule="exact"/>
              <w:rPr>
                <w:rFonts w:hint="default" w:ascii="Times New Roman" w:hAnsi="Times New Roman" w:eastAsia="宋体"/>
                <w:lang w:val="en-US" w:eastAsia="zh-CN"/>
              </w:rPr>
            </w:pPr>
            <w:r>
              <w:rPr>
                <w:rFonts w:hint="eastAsia" w:ascii="Times New Roman" w:hAnsi="Times New Roman"/>
              </w:rPr>
              <w:t>注明：需提供活动证明材料。缺项，得0分。</w:t>
            </w:r>
          </w:p>
        </w:tc>
      </w:tr>
      <w:tr w14:paraId="0F1F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5E79FBCB">
            <w:pPr>
              <w:widowControl/>
              <w:wordWrap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296" w:type="dxa"/>
            <w:vAlign w:val="center"/>
          </w:tcPr>
          <w:p w14:paraId="44966C9D">
            <w:pPr>
              <w:widowControl/>
              <w:spacing w:line="300" w:lineRule="exact"/>
              <w:jc w:val="center"/>
              <w:rPr>
                <w:rFonts w:ascii="宋体" w:hAnsi="宋体"/>
                <w:szCs w:val="21"/>
              </w:rPr>
            </w:pPr>
            <w:r>
              <w:rPr>
                <w:rFonts w:hint="eastAsia" w:ascii="宋体" w:hAnsi="宋体"/>
                <w:szCs w:val="21"/>
              </w:rPr>
              <w:t>服务质量承诺及保障措施</w:t>
            </w:r>
          </w:p>
        </w:tc>
        <w:tc>
          <w:tcPr>
            <w:tcW w:w="732" w:type="dxa"/>
            <w:vAlign w:val="center"/>
          </w:tcPr>
          <w:p w14:paraId="26B62236">
            <w:pPr>
              <w:widowControl/>
              <w:spacing w:line="300" w:lineRule="exact"/>
              <w:jc w:val="center"/>
              <w:rPr>
                <w:rFonts w:ascii="宋体" w:hAnsi="宋体"/>
                <w:szCs w:val="21"/>
              </w:rPr>
            </w:pPr>
            <w:r>
              <w:rPr>
                <w:rFonts w:ascii="宋体" w:hAnsi="宋体"/>
                <w:szCs w:val="21"/>
              </w:rPr>
              <w:t>1</w:t>
            </w:r>
            <w:r>
              <w:rPr>
                <w:rFonts w:hint="eastAsia" w:ascii="宋体" w:hAnsi="宋体"/>
                <w:szCs w:val="21"/>
              </w:rPr>
              <w:t>5</w:t>
            </w:r>
          </w:p>
        </w:tc>
        <w:tc>
          <w:tcPr>
            <w:tcW w:w="6758" w:type="dxa"/>
            <w:vAlign w:val="center"/>
          </w:tcPr>
          <w:p w14:paraId="63C789C6">
            <w:pPr>
              <w:widowControl/>
              <w:spacing w:line="300" w:lineRule="exact"/>
              <w:rPr>
                <w:rFonts w:ascii="宋体" w:hAnsi="宋体"/>
                <w:szCs w:val="21"/>
              </w:rPr>
            </w:pPr>
            <w:r>
              <w:rPr>
                <w:rFonts w:hint="eastAsia" w:ascii="宋体" w:hAnsi="宋体"/>
                <w:szCs w:val="21"/>
              </w:rPr>
              <w:t>根据供应商的服务质量与保证措施进行综合打分：</w:t>
            </w:r>
          </w:p>
          <w:p w14:paraId="2D8C598F">
            <w:pPr>
              <w:widowControl/>
              <w:spacing w:line="300" w:lineRule="exact"/>
              <w:rPr>
                <w:rFonts w:ascii="宋体" w:hAnsi="宋体"/>
                <w:szCs w:val="21"/>
              </w:rPr>
            </w:pPr>
            <w:r>
              <w:rPr>
                <w:rFonts w:hint="eastAsia" w:ascii="宋体" w:hAnsi="宋体"/>
                <w:szCs w:val="21"/>
              </w:rPr>
              <w:t>（1）服务质量承诺优于比选人要求，质量保障体系及措施完善，科学合理，得</w:t>
            </w:r>
            <w:r>
              <w:rPr>
                <w:rFonts w:ascii="宋体" w:hAnsi="宋体"/>
                <w:szCs w:val="21"/>
              </w:rPr>
              <w:t>1</w:t>
            </w:r>
            <w:r>
              <w:rPr>
                <w:rFonts w:hint="eastAsia" w:ascii="宋体" w:hAnsi="宋体"/>
                <w:szCs w:val="21"/>
              </w:rPr>
              <w:t>5分；</w:t>
            </w:r>
          </w:p>
          <w:p w14:paraId="78BA25C8">
            <w:pPr>
              <w:widowControl/>
              <w:spacing w:line="300" w:lineRule="exact"/>
              <w:rPr>
                <w:rFonts w:ascii="宋体" w:hAnsi="宋体"/>
                <w:szCs w:val="21"/>
              </w:rPr>
            </w:pPr>
            <w:r>
              <w:rPr>
                <w:rFonts w:hint="eastAsia" w:ascii="宋体" w:hAnsi="宋体"/>
                <w:szCs w:val="21"/>
              </w:rPr>
              <w:t>（2）服务质量承诺较好，质量保障体系及措施较科学合理，得12分；</w:t>
            </w:r>
          </w:p>
          <w:p w14:paraId="3EA1FDA7">
            <w:pPr>
              <w:widowControl/>
              <w:spacing w:line="300" w:lineRule="exact"/>
              <w:rPr>
                <w:rFonts w:hint="eastAsia" w:ascii="宋体" w:hAnsi="宋体" w:eastAsia="宋体" w:cs="宋体"/>
                <w:szCs w:val="21"/>
              </w:rPr>
            </w:pPr>
            <w:r>
              <w:rPr>
                <w:rFonts w:hint="eastAsia" w:ascii="宋体" w:hAnsi="宋体"/>
                <w:szCs w:val="21"/>
              </w:rPr>
              <w:t>（3）服</w:t>
            </w:r>
            <w:r>
              <w:rPr>
                <w:rFonts w:hint="eastAsia" w:ascii="宋体" w:hAnsi="宋体" w:eastAsia="宋体" w:cs="宋体"/>
                <w:szCs w:val="21"/>
              </w:rPr>
              <w:t>务质量承诺一般，质量保障体系及措施一般，得9分；</w:t>
            </w:r>
          </w:p>
          <w:p w14:paraId="08D70A24">
            <w:pPr>
              <w:widowControl/>
              <w:spacing w:line="300" w:lineRule="exact"/>
              <w:rPr>
                <w:rFonts w:ascii="宋体" w:hAnsi="宋体"/>
                <w:szCs w:val="21"/>
              </w:rPr>
            </w:pPr>
            <w:r>
              <w:rPr>
                <w:rFonts w:hint="eastAsia" w:ascii="宋体" w:hAnsi="宋体" w:eastAsia="宋体" w:cs="宋体"/>
              </w:rPr>
              <w:t>缺项，得0分</w:t>
            </w:r>
            <w:r>
              <w:rPr>
                <w:rFonts w:hint="eastAsia" w:ascii="宋体" w:hAnsi="宋体"/>
                <w:szCs w:val="21"/>
              </w:rPr>
              <w:t>。</w:t>
            </w:r>
          </w:p>
        </w:tc>
      </w:tr>
      <w:tr w14:paraId="0BD8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8" w:type="dxa"/>
            <w:gridSpan w:val="2"/>
            <w:vAlign w:val="center"/>
          </w:tcPr>
          <w:p w14:paraId="64541E7B">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合计</w:t>
            </w:r>
          </w:p>
        </w:tc>
        <w:tc>
          <w:tcPr>
            <w:tcW w:w="732" w:type="dxa"/>
            <w:vAlign w:val="center"/>
          </w:tcPr>
          <w:p w14:paraId="1001BEB5">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1</w:t>
            </w:r>
            <w:r>
              <w:rPr>
                <w:rFonts w:ascii="等线" w:hAnsi="等线" w:eastAsia="等线" w:cs="等线"/>
                <w:kern w:val="0"/>
                <w:szCs w:val="21"/>
              </w:rPr>
              <w:t>00</w:t>
            </w:r>
          </w:p>
        </w:tc>
        <w:tc>
          <w:tcPr>
            <w:tcW w:w="6758" w:type="dxa"/>
            <w:vAlign w:val="center"/>
          </w:tcPr>
          <w:p w14:paraId="2714B5A5">
            <w:pPr>
              <w:widowControl/>
              <w:wordWrap w:val="0"/>
              <w:spacing w:line="300" w:lineRule="exact"/>
              <w:rPr>
                <w:rFonts w:ascii="等线" w:hAnsi="等线" w:eastAsia="等线" w:cs="等线"/>
                <w:kern w:val="0"/>
                <w:szCs w:val="21"/>
              </w:rPr>
            </w:pPr>
            <w:r>
              <w:rPr>
                <w:rFonts w:hint="eastAsia" w:ascii="等线" w:hAnsi="等线" w:eastAsia="等线" w:cs="等线"/>
                <w:kern w:val="0"/>
                <w:szCs w:val="21"/>
              </w:rPr>
              <w:t>　</w:t>
            </w:r>
          </w:p>
        </w:tc>
      </w:tr>
    </w:tbl>
    <w:p w14:paraId="050E3BC8">
      <w:pPr>
        <w:spacing w:line="400" w:lineRule="exact"/>
        <w:jc w:val="left"/>
        <w:rPr>
          <w:rFonts w:ascii="宋体" w:hAnsi="宋体"/>
          <w:b/>
          <w:szCs w:val="21"/>
        </w:rPr>
      </w:pPr>
      <w:r>
        <w:rPr>
          <w:rFonts w:ascii="宋体" w:hAnsi="宋体"/>
          <w:b/>
          <w:szCs w:val="21"/>
        </w:rPr>
        <w:t>评分说明：</w:t>
      </w:r>
      <w:r>
        <w:rPr>
          <w:rFonts w:hint="eastAsia" w:ascii="宋体" w:hAnsi="宋体"/>
          <w:b/>
          <w:szCs w:val="21"/>
        </w:rPr>
        <w:t>供应商综合得分为所有评委打分的算术平均值，精确到小数点后2位。</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211FFE"/>
    <w:rsid w:val="000C16EA"/>
    <w:rsid w:val="00150BDA"/>
    <w:rsid w:val="00211FFE"/>
    <w:rsid w:val="00305EA8"/>
    <w:rsid w:val="00575A3A"/>
    <w:rsid w:val="00647C69"/>
    <w:rsid w:val="00773266"/>
    <w:rsid w:val="00D26A02"/>
    <w:rsid w:val="00F1260F"/>
    <w:rsid w:val="10DA0C1B"/>
    <w:rsid w:val="16EC132E"/>
    <w:rsid w:val="30BD560F"/>
    <w:rsid w:val="38E23DE0"/>
    <w:rsid w:val="ABFC566E"/>
    <w:rsid w:val="BFBB28BF"/>
    <w:rsid w:val="DF8603FA"/>
    <w:rsid w:val="FBFE9E68"/>
    <w:rsid w:val="FD2F2A26"/>
    <w:rsid w:val="FE6F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3"/>
    <w:semiHidden/>
    <w:qFormat/>
    <w:uiPriority w:val="99"/>
    <w:rPr>
      <w:rFonts w:ascii="Calibri" w:hAnsi="Calibri" w:eastAsia="宋体" w:cs="Times New Roman"/>
      <w:szCs w:val="24"/>
    </w:rPr>
  </w:style>
  <w:style w:type="character" w:customStyle="1" w:styleId="11">
    <w:name w:val="正文文本首行缩进 2 字符"/>
    <w:basedOn w:val="10"/>
    <w:link w:val="2"/>
    <w:qFormat/>
    <w:uiPriority w:val="99"/>
    <w:rPr>
      <w:rFonts w:ascii="Calibri" w:hAnsi="Calibri" w:eastAsia="宋体" w:cs="Times New Roman"/>
      <w:szCs w:val="24"/>
    </w:rPr>
  </w:style>
  <w:style w:type="paragraph" w:customStyle="1" w:styleId="12">
    <w:name w:val="默认段落字体 Para Char Char Char Char Char Char Char"/>
    <w:basedOn w:val="1"/>
    <w:qFormat/>
    <w:uiPriority w:val="0"/>
    <w:pPr>
      <w:adjustRightInd w:val="0"/>
      <w:spacing w:line="360" w:lineRule="auto"/>
      <w:ind w:left="200" w:hanging="200" w:hanging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2722</Words>
  <Characters>2759</Characters>
  <Lines>21</Lines>
  <Paragraphs>5</Paragraphs>
  <TotalTime>5</TotalTime>
  <ScaleCrop>false</ScaleCrop>
  <LinksUpToDate>false</LinksUpToDate>
  <CharactersWithSpaces>2765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2023-10-08T09:30:00Z</dcterms:created>
  <dc:creator>Zixuan Guo</dc:creator>
  <cp:lastModifiedBy>月迷津渡</cp:lastModifiedBy>
  <dcterms:modified xsi:type="dcterms:W3CDTF">2024-09-06T09:18:06Z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CF6A725BCF4C4594A764EEAEC762708D_13</vt:lpwstr>
  </property>
</Properties>
</file>